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4</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R2-2312239</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Chicago, USA, Nov. 13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xml:space="preserve"> – 17</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2023</w:t>
      </w:r>
    </w:p>
    <w:p>
      <w:pPr>
        <w:pStyle w:val="18"/>
        <w:spacing w:before="120"/>
        <w:ind w:left="0" w:leftChars="0" w:firstLine="0" w:firstLineChars="0"/>
        <w:rPr>
          <w:rFonts w:hint="default" w:ascii="Arial" w:hAnsi="Arial" w:cs="Arial"/>
          <w:sz w:val="24"/>
          <w:szCs w:val="24"/>
        </w:rPr>
      </w:pPr>
    </w:p>
    <w:p>
      <w:pPr>
        <w:pStyle w:val="18"/>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Remaining issues</w:t>
      </w:r>
      <w:r>
        <w:rPr>
          <w:rFonts w:hint="eastAsia" w:ascii="Arial" w:hAnsi="Arial" w:cs="Arial"/>
          <w:b/>
          <w:bCs/>
          <w:snapToGrid w:val="0"/>
          <w:kern w:val="0"/>
          <w:sz w:val="24"/>
          <w:lang w:val="en-US" w:eastAsia="zh-CN"/>
        </w:rPr>
        <w:t xml:space="preserve"> on CHO with candidate SCG(s)</w:t>
      </w:r>
    </w:p>
    <w:p>
      <w:pPr>
        <w:pStyle w:val="18"/>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4</w:t>
      </w:r>
    </w:p>
    <w:p>
      <w:pPr>
        <w:pStyle w:val="18"/>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0"/>
        <w:rPr>
          <w:rFonts w:hint="eastAsia"/>
          <w:szCs w:val="21"/>
          <w:lang w:val="en-US" w:eastAsia="zh-CN"/>
        </w:rPr>
      </w:pPr>
      <w:r>
        <w:rPr>
          <w:rFonts w:hint="eastAsia"/>
          <w:szCs w:val="21"/>
          <w:lang w:val="en-US" w:eastAsia="zh-CN"/>
        </w:rPr>
        <w:t xml:space="preserve">At last meeting, RAN2 discussed CHO with candidate SCG(s) and made the following agreements [1]: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P2: The execution of CHO with candidate SCG is prioritized, if both PCell for CHO only or CHO including target MCG and target SCG, and the PCell and the associated PSCell for CHO with candidate SCG(s) is triggered.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P4: 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P1a: If at least the legacy CPA or CPC was configured, UE removes CHO with candidate SCG configurations when PSCell changes,same as the legacy in the current spec.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P1b: If the legacy CPA or CPC was not configured, UE does not have to remove the configuration for CHO with candidate SCG(s) autonomously when PSCell changes (i.e. UE just wait and follow the NW signaling).</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P5: The legacy condEventA4 related parameters are provided by the candidate MN to the source MN for the execution condition for candidate PSCell, at least including(FFS more parameters are needed, FFS the parameters are in inter-node message or Xn message),</w:t>
            </w:r>
          </w:p>
          <w:p>
            <w:pPr>
              <w:keepNext w:val="0"/>
              <w:keepLines w:val="0"/>
              <w:pageBreakBefore w:val="0"/>
              <w:widowControl/>
              <w:numPr>
                <w:ilvl w:val="3"/>
                <w:numId w:val="0"/>
              </w:numPr>
              <w:tabs>
                <w:tab w:val="left" w:pos="2334"/>
              </w:tabs>
              <w:kinsoku/>
              <w:wordWrap/>
              <w:overflowPunct/>
              <w:topLinePunct w:val="0"/>
              <w:autoSpaceDE/>
              <w:autoSpaceDN/>
              <w:bidi w:val="0"/>
              <w:adjustRightInd w:val="0"/>
              <w:snapToGrid w:val="0"/>
              <w:spacing w:before="60" w:beforeLines="-2147483648" w:after="0" w:afterLines="-2147483648" w:line="260" w:lineRule="auto"/>
              <w:ind w:leftChars="200"/>
              <w:textAlignment w:val="auto"/>
              <w:rPr>
                <w:rFonts w:ascii="Arial" w:hAnsi="Arial" w:eastAsia="MS Mincho" w:cs="Times New Roman"/>
                <w:b/>
                <w:kern w:val="0"/>
                <w:szCs w:val="24"/>
                <w:lang w:val="en-GB" w:eastAsia="en-GB" w:bidi="ar-SA"/>
              </w:rPr>
            </w:pPr>
            <w:r>
              <w:rPr>
                <w:rFonts w:ascii="Arial" w:hAnsi="Arial" w:eastAsia="MS Mincho" w:cs="Times New Roman"/>
                <w:b/>
                <w:kern w:val="0"/>
                <w:szCs w:val="24"/>
                <w:lang w:val="en-GB" w:eastAsia="en-GB" w:bidi="ar-SA"/>
              </w:rPr>
              <w:t>-</w:t>
            </w:r>
            <w:r>
              <w:rPr>
                <w:rFonts w:hint="eastAsia" w:ascii="Arial" w:hAnsi="Arial" w:eastAsia="宋体" w:cs="Times New Roman"/>
                <w:b/>
                <w:kern w:val="0"/>
                <w:szCs w:val="24"/>
                <w:lang w:val="en-US" w:eastAsia="zh-CN" w:bidi="ar-SA"/>
              </w:rPr>
              <w:t xml:space="preserve"> </w:t>
            </w:r>
            <w:r>
              <w:rPr>
                <w:rFonts w:ascii="Arial" w:hAnsi="Arial" w:eastAsia="MS Mincho" w:cs="Times New Roman"/>
                <w:b/>
                <w:kern w:val="0"/>
                <w:szCs w:val="24"/>
                <w:lang w:val="en-GB" w:eastAsia="en-GB" w:bidi="ar-SA"/>
              </w:rPr>
              <w:t>a4-Threshold</w:t>
            </w:r>
          </w:p>
          <w:p>
            <w:pPr>
              <w:keepNext w:val="0"/>
              <w:keepLines w:val="0"/>
              <w:pageBreakBefore w:val="0"/>
              <w:widowControl/>
              <w:numPr>
                <w:ilvl w:val="3"/>
                <w:numId w:val="0"/>
              </w:numPr>
              <w:tabs>
                <w:tab w:val="left" w:pos="2334"/>
              </w:tabs>
              <w:kinsoku/>
              <w:wordWrap/>
              <w:overflowPunct/>
              <w:topLinePunct w:val="0"/>
              <w:autoSpaceDE/>
              <w:autoSpaceDN/>
              <w:bidi w:val="0"/>
              <w:adjustRightInd w:val="0"/>
              <w:snapToGrid w:val="0"/>
              <w:spacing w:before="60" w:beforeLines="-2147483648" w:after="0" w:afterLines="-2147483648" w:line="260" w:lineRule="auto"/>
              <w:ind w:leftChars="200"/>
              <w:textAlignment w:val="auto"/>
              <w:rPr>
                <w:rFonts w:ascii="Arial" w:hAnsi="Arial" w:eastAsia="MS Mincho" w:cs="Times New Roman"/>
                <w:b/>
                <w:kern w:val="0"/>
                <w:szCs w:val="24"/>
                <w:lang w:val="en-GB" w:eastAsia="en-GB" w:bidi="ar-SA"/>
              </w:rPr>
            </w:pPr>
            <w:r>
              <w:rPr>
                <w:rFonts w:ascii="Arial" w:hAnsi="Arial" w:eastAsia="MS Mincho" w:cs="Times New Roman"/>
                <w:b/>
                <w:kern w:val="0"/>
                <w:szCs w:val="24"/>
                <w:lang w:val="en-GB" w:eastAsia="en-GB" w:bidi="ar-SA"/>
              </w:rPr>
              <w:t>-</w:t>
            </w:r>
            <w:r>
              <w:rPr>
                <w:rFonts w:hint="eastAsia" w:ascii="Arial" w:hAnsi="Arial" w:eastAsia="宋体" w:cs="Times New Roman"/>
                <w:b/>
                <w:kern w:val="0"/>
                <w:szCs w:val="24"/>
                <w:lang w:val="en-US" w:eastAsia="zh-CN" w:bidi="ar-SA"/>
              </w:rPr>
              <w:t xml:space="preserve"> </w:t>
            </w:r>
            <w:r>
              <w:rPr>
                <w:rFonts w:ascii="Arial" w:hAnsi="Arial" w:eastAsia="MS Mincho" w:cs="Times New Roman"/>
                <w:b/>
                <w:kern w:val="0"/>
                <w:szCs w:val="24"/>
                <w:lang w:val="en-GB" w:eastAsia="en-GB" w:bidi="ar-SA"/>
              </w:rPr>
              <w:t>hysteresis (optional)</w:t>
            </w:r>
          </w:p>
          <w:p>
            <w:pPr>
              <w:keepNext w:val="0"/>
              <w:keepLines w:val="0"/>
              <w:pageBreakBefore w:val="0"/>
              <w:widowControl/>
              <w:numPr>
                <w:ilvl w:val="3"/>
                <w:numId w:val="0"/>
              </w:numPr>
              <w:tabs>
                <w:tab w:val="left" w:pos="2334"/>
              </w:tabs>
              <w:kinsoku/>
              <w:wordWrap/>
              <w:overflowPunct/>
              <w:topLinePunct w:val="0"/>
              <w:autoSpaceDE/>
              <w:autoSpaceDN/>
              <w:bidi w:val="0"/>
              <w:adjustRightInd w:val="0"/>
              <w:snapToGrid w:val="0"/>
              <w:spacing w:before="60" w:beforeLines="-2147483648" w:after="0" w:afterLines="-2147483648" w:line="260" w:lineRule="auto"/>
              <w:ind w:leftChars="200"/>
              <w:textAlignment w:val="auto"/>
              <w:rPr>
                <w:rFonts w:ascii="Arial" w:hAnsi="Arial" w:eastAsia="MS Mincho" w:cs="Times New Roman"/>
                <w:b/>
                <w:kern w:val="0"/>
                <w:szCs w:val="24"/>
                <w:lang w:val="en-GB" w:eastAsia="en-GB" w:bidi="ar-SA"/>
              </w:rPr>
            </w:pPr>
            <w:r>
              <w:rPr>
                <w:rFonts w:ascii="Arial" w:hAnsi="Arial" w:eastAsia="MS Mincho" w:cs="Times New Roman"/>
                <w:b/>
                <w:kern w:val="0"/>
                <w:szCs w:val="24"/>
                <w:lang w:val="en-GB" w:eastAsia="en-GB" w:bidi="ar-SA"/>
              </w:rPr>
              <w:t>-</w:t>
            </w:r>
            <w:r>
              <w:rPr>
                <w:rFonts w:hint="eastAsia" w:ascii="Arial" w:hAnsi="Arial" w:eastAsia="宋体" w:cs="Times New Roman"/>
                <w:b/>
                <w:kern w:val="0"/>
                <w:szCs w:val="24"/>
                <w:lang w:val="en-US" w:eastAsia="zh-CN" w:bidi="ar-SA"/>
              </w:rPr>
              <w:t xml:space="preserve"> </w:t>
            </w:r>
            <w:r>
              <w:rPr>
                <w:rFonts w:ascii="Arial" w:hAnsi="Arial" w:eastAsia="MS Mincho" w:cs="Times New Roman"/>
                <w:b/>
                <w:kern w:val="0"/>
                <w:szCs w:val="24"/>
                <w:lang w:val="en-GB" w:eastAsia="en-GB" w:bidi="ar-SA"/>
              </w:rPr>
              <w:t>timeToTrigger (optional)</w:t>
            </w:r>
          </w:p>
          <w:p>
            <w:pPr>
              <w:keepNext w:val="0"/>
              <w:keepLines w:val="0"/>
              <w:pageBreakBefore w:val="0"/>
              <w:widowControl/>
              <w:numPr>
                <w:ilvl w:val="3"/>
                <w:numId w:val="0"/>
              </w:numPr>
              <w:tabs>
                <w:tab w:val="left" w:pos="2334"/>
              </w:tabs>
              <w:kinsoku/>
              <w:wordWrap/>
              <w:overflowPunct/>
              <w:topLinePunct w:val="0"/>
              <w:autoSpaceDE/>
              <w:autoSpaceDN/>
              <w:bidi w:val="0"/>
              <w:adjustRightInd w:val="0"/>
              <w:snapToGrid w:val="0"/>
              <w:spacing w:before="60" w:beforeLines="-2147483648" w:after="0" w:afterLines="-2147483648" w:line="260" w:lineRule="auto"/>
              <w:ind w:leftChars="200"/>
              <w:textAlignment w:val="auto"/>
              <w:rPr>
                <w:rFonts w:ascii="Arial" w:hAnsi="Arial" w:eastAsia="MS Mincho" w:cs="Times New Roman"/>
                <w:b/>
                <w:kern w:val="0"/>
                <w:szCs w:val="24"/>
                <w:lang w:val="en-GB" w:eastAsia="en-GB" w:bidi="ar-SA"/>
              </w:rPr>
            </w:pPr>
            <w:r>
              <w:rPr>
                <w:rFonts w:ascii="Arial" w:hAnsi="Arial" w:eastAsia="MS Mincho" w:cs="Times New Roman"/>
                <w:b/>
                <w:kern w:val="0"/>
                <w:szCs w:val="24"/>
                <w:lang w:val="en-GB" w:eastAsia="en-GB" w:bidi="ar-SA"/>
              </w:rPr>
              <w:t>-</w:t>
            </w:r>
            <w:r>
              <w:rPr>
                <w:rFonts w:hint="eastAsia" w:ascii="Arial" w:hAnsi="Arial" w:eastAsia="宋体" w:cs="Times New Roman"/>
                <w:b/>
                <w:kern w:val="0"/>
                <w:szCs w:val="24"/>
                <w:lang w:val="en-US" w:eastAsia="zh-CN" w:bidi="ar-SA"/>
              </w:rPr>
              <w:t xml:space="preserve"> </w:t>
            </w:r>
            <w:r>
              <w:rPr>
                <w:rFonts w:ascii="Arial" w:hAnsi="Arial" w:eastAsia="MS Mincho" w:cs="Times New Roman"/>
                <w:b/>
                <w:kern w:val="0"/>
                <w:szCs w:val="24"/>
                <w:lang w:val="en-GB" w:eastAsia="en-GB" w:bidi="ar-SA"/>
              </w:rPr>
              <w:t>rsType (optional)</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P6: For the preparation of the R18 CHO with candidate SCG(s), it is up to RAN3 on the signaling details between S-MN and T-MN. The related RN in the running CR can be removed.</w:t>
            </w:r>
          </w:p>
          <w:p>
            <w:pPr>
              <w:numPr>
                <w:ilvl w:val="0"/>
                <w:numId w:val="8"/>
              </w:numPr>
              <w:tabs>
                <w:tab w:val="left" w:pos="419"/>
              </w:tabs>
              <w:spacing w:before="60" w:after="0" w:line="240" w:lineRule="auto"/>
              <w:ind w:left="58" w:leftChars="29"/>
              <w:jc w:val="left"/>
              <w:rPr>
                <w:bCs/>
                <w:lang w:eastAsia="zh-CN"/>
              </w:rPr>
            </w:pPr>
            <w:r>
              <w:rPr>
                <w:rFonts w:ascii="Arial" w:hAnsi="Arial" w:eastAsia="MS Mincho" w:cs="Times New Roman"/>
                <w:b/>
                <w:szCs w:val="24"/>
                <w:highlight w:val="none"/>
                <w:lang w:val="en-GB" w:eastAsia="en-GB" w:bidi="ar-SA"/>
              </w:rPr>
              <w:t xml:space="preserve">P3: The configuration for CHO with candidate SCG(s) is not considered for CHO recovery. </w:t>
            </w:r>
          </w:p>
        </w:tc>
      </w:tr>
    </w:tbl>
    <w:p>
      <w:pPr>
        <w:spacing w:before="120" w:after="0"/>
        <w:rPr>
          <w:rFonts w:hint="eastAsia"/>
          <w:szCs w:val="21"/>
          <w:lang w:val="en-US" w:eastAsia="zh-CN"/>
        </w:rPr>
      </w:pPr>
      <w:r>
        <w:rPr>
          <w:rFonts w:hint="eastAsia"/>
          <w:szCs w:val="21"/>
          <w:lang w:val="en-US" w:eastAsia="zh-CN"/>
        </w:rPr>
        <w:t>Besides, the RRC CR rapporteur provided the open issues list in [2].</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2"/>
        <w:gridCol w:w="2228"/>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80" w:type="pct"/>
          </w:tcPr>
          <w:p>
            <w:pPr>
              <w:spacing w:after="120" w:line="259" w:lineRule="auto"/>
              <w:jc w:val="center"/>
              <w:rPr>
                <w:rFonts w:ascii="Arial" w:hAnsi="Arial" w:cs="Arial" w:eastAsiaTheme="minorEastAsia"/>
                <w:b/>
                <w:sz w:val="20"/>
                <w:szCs w:val="20"/>
                <w:lang w:eastAsia="zh-CN"/>
              </w:rPr>
            </w:pPr>
            <w:r>
              <w:rPr>
                <w:rFonts w:ascii="Arial" w:hAnsi="Arial" w:cs="Arial" w:eastAsiaTheme="minorEastAsia"/>
                <w:b/>
                <w:sz w:val="20"/>
                <w:szCs w:val="20"/>
                <w:lang w:eastAsia="zh-CN"/>
              </w:rPr>
              <w:t>Issue</w:t>
            </w:r>
          </w:p>
        </w:tc>
        <w:tc>
          <w:tcPr>
            <w:tcW w:w="1128" w:type="pct"/>
          </w:tcPr>
          <w:p>
            <w:pPr>
              <w:spacing w:after="120" w:line="259" w:lineRule="auto"/>
              <w:jc w:val="center"/>
              <w:rPr>
                <w:rFonts w:ascii="Arial" w:hAnsi="Arial" w:eastAsia="Malgun Gothic" w:cs="Arial"/>
                <w:b/>
                <w:sz w:val="20"/>
                <w:szCs w:val="20"/>
                <w:lang w:eastAsia="zh-CN"/>
              </w:rPr>
            </w:pPr>
            <w:r>
              <w:rPr>
                <w:rFonts w:ascii="Arial" w:hAnsi="Arial" w:eastAsia="Malgun Gothic" w:cs="Arial"/>
                <w:b/>
                <w:sz w:val="20"/>
                <w:szCs w:val="20"/>
                <w:lang w:eastAsia="zh-CN"/>
              </w:rPr>
              <w:t>Relevant section in TS 38.331</w:t>
            </w:r>
          </w:p>
        </w:tc>
        <w:tc>
          <w:tcPr>
            <w:tcW w:w="1491" w:type="pct"/>
          </w:tcPr>
          <w:p>
            <w:pPr>
              <w:spacing w:after="120" w:line="259" w:lineRule="auto"/>
              <w:jc w:val="center"/>
              <w:rPr>
                <w:rFonts w:ascii="Arial" w:hAnsi="Arial" w:eastAsia="Malgun Gothic" w:cs="Arial"/>
                <w:b/>
                <w:sz w:val="20"/>
                <w:szCs w:val="20"/>
                <w:lang w:eastAsia="ko-KR"/>
              </w:rPr>
            </w:pPr>
            <w:r>
              <w:rPr>
                <w:rFonts w:ascii="Arial" w:hAnsi="Arial" w:eastAsia="Malgun Gothic" w:cs="Arial"/>
                <w:b/>
                <w:sz w:val="20"/>
                <w:szCs w:val="20"/>
                <w:lang w:eastAsia="ko-KR"/>
              </w:rPr>
              <w:t>rapporteur’s suggestions on how to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0" w:type="pct"/>
          </w:tcPr>
          <w:p>
            <w:pPr>
              <w:spacing w:after="120" w:line="259" w:lineRule="auto"/>
              <w:jc w:val="both"/>
              <w:rPr>
                <w:rFonts w:ascii="Arial" w:hAnsi="Arial" w:eastAsia="Malgun Gothic" w:cs="Arial"/>
                <w:sz w:val="20"/>
                <w:szCs w:val="20"/>
                <w:lang w:val="en-GB" w:eastAsia="zh-CN"/>
              </w:rPr>
            </w:pPr>
            <w:r>
              <w:rPr>
                <w:rFonts w:ascii="CG Times (WN)" w:hAnsi="CG Times (WN)" w:eastAsia="Malgun Gothic" w:cs="Times New Roman"/>
                <w:sz w:val="20"/>
                <w:szCs w:val="20"/>
                <w:lang w:eastAsia="ko-KR"/>
              </w:rPr>
              <w:t xml:space="preserve">R2 assumes that the maximum number of conditional reconfigurations </w:t>
            </w:r>
            <w:r>
              <w:rPr>
                <w:rFonts w:ascii="CG Times (WN)" w:hAnsi="CG Times (WN)" w:eastAsia="Malgun Gothic" w:cs="Times New Roman"/>
                <w:i/>
                <w:sz w:val="20"/>
                <w:szCs w:val="20"/>
                <w:lang w:eastAsia="ko-KR"/>
              </w:rPr>
              <w:t>maxNrofCondCells</w:t>
            </w:r>
            <w:r>
              <w:rPr>
                <w:rFonts w:ascii="CG Times (WN)" w:hAnsi="CG Times (WN)" w:eastAsia="Malgun Gothic" w:cs="Times New Roman"/>
                <w:sz w:val="20"/>
                <w:szCs w:val="20"/>
                <w:lang w:eastAsia="ko-KR"/>
              </w:rPr>
              <w:t xml:space="preserve"> (i.e., including the coexistence CHO with candidate SCGs, CHO only, CHO with target SCG, CPA/CPC if present) is 8 in Rel-18. </w:t>
            </w:r>
            <w:r>
              <w:rPr>
                <w:rFonts w:ascii="CG Times (WN)" w:hAnsi="CG Times (WN)" w:eastAsia="Malgun Gothic" w:cs="Times New Roman"/>
                <w:sz w:val="20"/>
                <w:szCs w:val="20"/>
                <w:highlight w:val="yellow"/>
                <w:lang w:eastAsia="ko-KR"/>
              </w:rPr>
              <w:t>FFS whether any optional additional UE cap for higher number is needed.</w:t>
            </w:r>
          </w:p>
        </w:tc>
        <w:tc>
          <w:tcPr>
            <w:tcW w:w="1128" w:type="pct"/>
          </w:tcPr>
          <w:p>
            <w:pPr>
              <w:spacing w:after="120" w:line="259" w:lineRule="auto"/>
              <w:jc w:val="both"/>
              <w:rPr>
                <w:rFonts w:ascii="Arial" w:hAnsi="Arial" w:cs="Arial" w:eastAsiaTheme="minorEastAsia"/>
                <w:sz w:val="20"/>
                <w:szCs w:val="20"/>
                <w:lang w:eastAsia="zh-CN"/>
              </w:rPr>
            </w:pPr>
            <w:r>
              <w:rPr>
                <w:rFonts w:hint="eastAsia" w:ascii="Arial" w:hAnsi="Arial" w:cs="Arial" w:eastAsiaTheme="minorEastAsia"/>
                <w:sz w:val="20"/>
                <w:szCs w:val="20"/>
                <w:lang w:eastAsia="zh-CN"/>
              </w:rPr>
              <w:t>6.3.2</w:t>
            </w:r>
          </w:p>
        </w:tc>
        <w:tc>
          <w:tcPr>
            <w:tcW w:w="1491" w:type="pct"/>
          </w:tcPr>
          <w:p>
            <w:pPr>
              <w:spacing w:after="120" w:line="259" w:lineRule="auto"/>
              <w:jc w:val="both"/>
              <w:rPr>
                <w:rFonts w:ascii="Arial" w:hAnsi="Arial" w:eastAsia="Malgun Gothic" w:cs="Arial"/>
                <w:sz w:val="20"/>
                <w:szCs w:val="20"/>
                <w:lang w:eastAsia="ko-KR"/>
              </w:rPr>
            </w:pPr>
            <w:r>
              <w:rPr>
                <w:rFonts w:ascii="CG Times (WN)" w:hAnsi="CG Times (WN)" w:eastAsia="Malgun Gothic" w:cs="Times New Roman"/>
                <w:sz w:val="20"/>
                <w:szCs w:val="20"/>
                <w:lang w:eastAsia="zh-CN"/>
              </w:rPr>
              <w:t>D</w:t>
            </w:r>
            <w:r>
              <w:rPr>
                <w:rFonts w:hint="eastAsia" w:ascii="CG Times (WN)" w:hAnsi="CG Times (WN)" w:eastAsia="Malgun Gothic" w:cs="Times New Roman"/>
                <w:sz w:val="20"/>
                <w:szCs w:val="20"/>
                <w:lang w:eastAsia="zh-CN"/>
              </w:rPr>
              <w:t xml:space="preserve">iscuss </w:t>
            </w:r>
            <w:r>
              <w:rPr>
                <w:rFonts w:ascii="CG Times (WN)" w:hAnsi="CG Times (WN)" w:eastAsia="Malgun Gothic" w:cs="Times New Roman"/>
                <w:sz w:val="20"/>
                <w:szCs w:val="20"/>
                <w:lang w:eastAsia="zh-CN"/>
              </w:rPr>
              <w:t>based on companies contributions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0" w:type="pct"/>
          </w:tcPr>
          <w:p>
            <w:pPr>
              <w:spacing w:after="120" w:line="259" w:lineRule="auto"/>
              <w:jc w:val="both"/>
              <w:rPr>
                <w:rFonts w:ascii="CG Times (WN)" w:hAnsi="CG Times (WN)" w:cs="Times New Roman" w:eastAsiaTheme="minorEastAsia"/>
                <w:sz w:val="20"/>
                <w:szCs w:val="20"/>
                <w:lang w:eastAsia="zh-CN"/>
              </w:rPr>
            </w:pPr>
            <w:r>
              <w:rPr>
                <w:rFonts w:hint="eastAsia" w:ascii="CG Times (WN)" w:hAnsi="CG Times (WN)" w:eastAsia="Malgun Gothic" w:cs="Times New Roman"/>
                <w:sz w:val="20"/>
                <w:szCs w:val="20"/>
                <w:lang w:eastAsia="zh-CN"/>
              </w:rPr>
              <w:t xml:space="preserve">The execution </w:t>
            </w:r>
            <w:r>
              <w:rPr>
                <w:rFonts w:ascii="CG Times (WN)" w:hAnsi="CG Times (WN)" w:eastAsia="Malgun Gothic" w:cs="Times New Roman"/>
                <w:sz w:val="20"/>
                <w:szCs w:val="20"/>
                <w:lang w:eastAsia="zh-CN"/>
              </w:rPr>
              <w:t>condition</w:t>
            </w:r>
            <w:r>
              <w:rPr>
                <w:rFonts w:hint="eastAsia" w:ascii="CG Times (WN)" w:hAnsi="CG Times (WN)" w:eastAsia="Malgun Gothic" w:cs="Times New Roman"/>
                <w:sz w:val="20"/>
                <w:szCs w:val="20"/>
                <w:lang w:eastAsia="zh-CN"/>
              </w:rPr>
              <w:t xml:space="preserve"> parameters provided from T-MN to S-MN </w:t>
            </w:r>
            <w:r>
              <w:rPr>
                <w:rFonts w:ascii="CG Times (WN)" w:hAnsi="CG Times (WN)" w:eastAsia="Malgun Gothic" w:cs="Times New Roman"/>
                <w:sz w:val="20"/>
                <w:szCs w:val="20"/>
                <w:lang w:eastAsia="zh-CN"/>
              </w:rPr>
              <w:t>at least</w:t>
            </w:r>
            <w:r>
              <w:rPr>
                <w:rFonts w:hint="eastAsia" w:ascii="CG Times (WN)" w:hAnsi="CG Times (WN)" w:eastAsia="Malgun Gothic" w:cs="Times New Roman"/>
                <w:sz w:val="20"/>
                <w:szCs w:val="20"/>
                <w:lang w:eastAsia="zh-CN"/>
              </w:rPr>
              <w:t xml:space="preserve"> includes </w:t>
            </w:r>
            <w:r>
              <w:rPr>
                <w:rFonts w:hint="eastAsia" w:ascii="CG Times (WN)" w:hAnsi="CG Times (WN)" w:eastAsia="Malgun Gothic" w:cs="Times New Roman"/>
                <w:i/>
                <w:sz w:val="20"/>
                <w:szCs w:val="20"/>
                <w:lang w:eastAsia="zh-CN"/>
              </w:rPr>
              <w:t>a4-threshold</w:t>
            </w:r>
            <w:r>
              <w:rPr>
                <w:rFonts w:hint="eastAsia" w:ascii="CG Times (WN)" w:hAnsi="CG Times (WN)" w:eastAsia="Malgun Gothic" w:cs="Times New Roman"/>
                <w:sz w:val="20"/>
                <w:szCs w:val="20"/>
                <w:lang w:eastAsia="zh-CN"/>
              </w:rPr>
              <w:t xml:space="preserve">, </w:t>
            </w:r>
            <w:r>
              <w:rPr>
                <w:rFonts w:ascii="CG Times (WN)" w:hAnsi="CG Times (WN)" w:eastAsia="Malgun Gothic" w:cs="Times New Roman"/>
                <w:i/>
                <w:sz w:val="20"/>
                <w:szCs w:val="20"/>
                <w:lang w:eastAsia="zh-CN"/>
              </w:rPr>
              <w:t>hysteresis</w:t>
            </w:r>
            <w:r>
              <w:rPr>
                <w:rFonts w:ascii="CG Times (WN)" w:hAnsi="CG Times (WN)" w:eastAsia="Malgun Gothic" w:cs="Times New Roman"/>
                <w:sz w:val="20"/>
                <w:szCs w:val="20"/>
                <w:lang w:eastAsia="zh-CN"/>
              </w:rPr>
              <w:t xml:space="preserve"> (optional)</w:t>
            </w:r>
            <w:r>
              <w:rPr>
                <w:rFonts w:hint="eastAsia" w:ascii="CG Times (WN)" w:hAnsi="CG Times (WN)" w:eastAsia="Malgun Gothic" w:cs="Times New Roman"/>
                <w:sz w:val="20"/>
                <w:szCs w:val="20"/>
                <w:lang w:eastAsia="zh-CN"/>
              </w:rPr>
              <w:t xml:space="preserve">, </w:t>
            </w:r>
            <w:r>
              <w:rPr>
                <w:rFonts w:ascii="CG Times (WN)" w:hAnsi="CG Times (WN)" w:eastAsia="Malgun Gothic" w:cs="Times New Roman"/>
                <w:i/>
                <w:sz w:val="20"/>
                <w:szCs w:val="20"/>
                <w:lang w:eastAsia="zh-CN"/>
              </w:rPr>
              <w:t>timeToTrigger</w:t>
            </w:r>
            <w:r>
              <w:rPr>
                <w:rFonts w:ascii="CG Times (WN)" w:hAnsi="CG Times (WN)" w:eastAsia="Malgun Gothic" w:cs="Times New Roman"/>
                <w:sz w:val="20"/>
                <w:szCs w:val="20"/>
                <w:lang w:eastAsia="zh-CN"/>
              </w:rPr>
              <w:t xml:space="preserve"> (optional)</w:t>
            </w:r>
            <w:r>
              <w:rPr>
                <w:rFonts w:hint="eastAsia" w:ascii="CG Times (WN)" w:hAnsi="CG Times (WN)" w:eastAsia="Malgun Gothic" w:cs="Times New Roman"/>
                <w:sz w:val="20"/>
                <w:szCs w:val="20"/>
                <w:lang w:eastAsia="zh-CN"/>
              </w:rPr>
              <w:t xml:space="preserve">, </w:t>
            </w:r>
            <w:r>
              <w:rPr>
                <w:rFonts w:ascii="CG Times (WN)" w:hAnsi="CG Times (WN)" w:eastAsia="Malgun Gothic" w:cs="Times New Roman"/>
                <w:i/>
                <w:sz w:val="20"/>
                <w:szCs w:val="20"/>
                <w:lang w:eastAsia="zh-CN"/>
              </w:rPr>
              <w:t>rsType</w:t>
            </w:r>
            <w:r>
              <w:rPr>
                <w:rFonts w:ascii="CG Times (WN)" w:hAnsi="CG Times (WN)" w:eastAsia="Malgun Gothic" w:cs="Times New Roman"/>
                <w:sz w:val="20"/>
                <w:szCs w:val="20"/>
                <w:lang w:eastAsia="zh-CN"/>
              </w:rPr>
              <w:t xml:space="preserve"> (optional)</w:t>
            </w:r>
            <w:r>
              <w:rPr>
                <w:rFonts w:hint="eastAsia" w:ascii="CG Times (WN)" w:hAnsi="CG Times (WN)" w:eastAsia="Malgun Gothic" w:cs="Times New Roman"/>
                <w:sz w:val="20"/>
                <w:szCs w:val="20"/>
                <w:lang w:eastAsia="zh-CN"/>
              </w:rPr>
              <w:t>.</w:t>
            </w:r>
            <w:r>
              <w:rPr>
                <w:rFonts w:ascii="CG Times (WN)" w:hAnsi="CG Times (WN)" w:eastAsia="Malgun Gothic" w:cs="Times New Roman"/>
                <w:sz w:val="20"/>
                <w:szCs w:val="20"/>
                <w:lang w:eastAsia="ko-KR"/>
              </w:rPr>
              <w:t xml:space="preserve"> FFS more parameters are needed</w:t>
            </w:r>
            <w:r>
              <w:rPr>
                <w:rFonts w:hint="eastAsia" w:ascii="CG Times (WN)" w:hAnsi="CG Times (WN)" w:eastAsia="Malgun Gothic" w:cs="Times New Roman"/>
                <w:sz w:val="20"/>
                <w:szCs w:val="20"/>
                <w:lang w:eastAsia="zh-CN"/>
              </w:rPr>
              <w:t xml:space="preserve">. </w:t>
            </w:r>
            <w:r>
              <w:rPr>
                <w:rFonts w:hint="eastAsia" w:ascii="CG Times (WN)" w:hAnsi="CG Times (WN)" w:eastAsia="Malgun Gothic" w:cs="Times New Roman"/>
                <w:sz w:val="20"/>
                <w:szCs w:val="20"/>
                <w:highlight w:val="yellow"/>
                <w:lang w:eastAsia="zh-CN"/>
              </w:rPr>
              <w:t>FFS it is captured in the inter-node RRC message or in the Xn message</w:t>
            </w:r>
            <w:r>
              <w:rPr>
                <w:rFonts w:hint="eastAsia" w:ascii="CG Times (WN)" w:hAnsi="CG Times (WN)" w:eastAsia="Yu Mincho" w:cs="Times New Roman"/>
                <w:sz w:val="20"/>
                <w:szCs w:val="20"/>
                <w:highlight w:val="yellow"/>
                <w:lang w:eastAsia="zh-CN"/>
              </w:rPr>
              <w:t>.</w:t>
            </w:r>
          </w:p>
        </w:tc>
        <w:tc>
          <w:tcPr>
            <w:tcW w:w="1128" w:type="pct"/>
          </w:tcPr>
          <w:p>
            <w:pPr>
              <w:spacing w:after="120" w:line="259" w:lineRule="auto"/>
              <w:jc w:val="both"/>
              <w:rPr>
                <w:rFonts w:ascii="Arial" w:hAnsi="Arial" w:cs="Arial" w:eastAsiaTheme="minorEastAsia"/>
                <w:sz w:val="20"/>
                <w:szCs w:val="20"/>
                <w:lang w:eastAsia="zh-CN"/>
              </w:rPr>
            </w:pPr>
            <w:r>
              <w:rPr>
                <w:rFonts w:hint="eastAsia" w:ascii="Arial" w:hAnsi="Arial" w:cs="Arial" w:eastAsiaTheme="minorEastAsia"/>
                <w:sz w:val="20"/>
                <w:szCs w:val="20"/>
                <w:lang w:eastAsia="zh-CN"/>
              </w:rPr>
              <w:t>11.2.2</w:t>
            </w:r>
          </w:p>
        </w:tc>
        <w:tc>
          <w:tcPr>
            <w:tcW w:w="1491" w:type="pct"/>
          </w:tcPr>
          <w:p>
            <w:pPr>
              <w:spacing w:after="120" w:line="259" w:lineRule="auto"/>
              <w:jc w:val="both"/>
              <w:rPr>
                <w:rFonts w:ascii="CG Times (WN)" w:hAnsi="CG Times (WN)" w:cs="Times New Roman" w:eastAsiaTheme="minorEastAsia"/>
                <w:sz w:val="20"/>
                <w:szCs w:val="20"/>
                <w:lang w:eastAsia="zh-CN"/>
              </w:rPr>
            </w:pPr>
            <w:r>
              <w:rPr>
                <w:rFonts w:ascii="CG Times (WN)" w:hAnsi="CG Times (WN)" w:eastAsia="Malgun Gothic" w:cs="Times New Roman"/>
                <w:sz w:val="20"/>
                <w:szCs w:val="20"/>
                <w:lang w:eastAsia="zh-CN"/>
              </w:rPr>
              <w:t>D</w:t>
            </w:r>
            <w:r>
              <w:rPr>
                <w:rFonts w:hint="eastAsia" w:ascii="CG Times (WN)" w:hAnsi="CG Times (WN)" w:eastAsia="Malgun Gothic" w:cs="Times New Roman"/>
                <w:sz w:val="20"/>
                <w:szCs w:val="20"/>
                <w:lang w:eastAsia="zh-CN"/>
              </w:rPr>
              <w:t xml:space="preserve">iscuss </w:t>
            </w:r>
            <w:r>
              <w:rPr>
                <w:rFonts w:ascii="CG Times (WN)" w:hAnsi="CG Times (WN)" w:eastAsia="Malgun Gothic" w:cs="Times New Roman"/>
                <w:sz w:val="20"/>
                <w:szCs w:val="20"/>
                <w:lang w:eastAsia="zh-CN"/>
              </w:rPr>
              <w:t>based on companies contributions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0" w:type="pct"/>
          </w:tcPr>
          <w:p>
            <w:pPr>
              <w:spacing w:after="120" w:line="259" w:lineRule="auto"/>
              <w:jc w:val="both"/>
              <w:rPr>
                <w:rFonts w:ascii="CG Times (WN)" w:hAnsi="CG Times (WN)" w:cs="Times New Roman" w:eastAsiaTheme="minorEastAsia"/>
                <w:sz w:val="20"/>
                <w:szCs w:val="20"/>
                <w:lang w:eastAsia="zh-CN"/>
              </w:rPr>
            </w:pPr>
          </w:p>
        </w:tc>
        <w:tc>
          <w:tcPr>
            <w:tcW w:w="1128" w:type="pct"/>
          </w:tcPr>
          <w:p>
            <w:pPr>
              <w:spacing w:after="120" w:line="259" w:lineRule="auto"/>
              <w:jc w:val="both"/>
              <w:rPr>
                <w:rFonts w:ascii="Arial" w:hAnsi="Arial" w:cs="Arial" w:eastAsiaTheme="minorEastAsia"/>
                <w:sz w:val="20"/>
                <w:szCs w:val="20"/>
                <w:lang w:eastAsia="zh-CN"/>
              </w:rPr>
            </w:pPr>
          </w:p>
        </w:tc>
        <w:tc>
          <w:tcPr>
            <w:tcW w:w="1491" w:type="pct"/>
          </w:tcPr>
          <w:p>
            <w:pPr>
              <w:spacing w:after="120" w:line="259" w:lineRule="auto"/>
              <w:jc w:val="both"/>
              <w:rPr>
                <w:rFonts w:ascii="Arial" w:hAnsi="Arial" w:eastAsia="Malgun Gothic" w:cs="Arial"/>
                <w:sz w:val="20"/>
                <w:szCs w:val="20"/>
                <w:lang w:eastAsia="ko-KR"/>
              </w:rPr>
            </w:pPr>
          </w:p>
        </w:tc>
      </w:tr>
    </w:tbl>
    <w:p>
      <w:pPr>
        <w:spacing w:before="120" w:after="0"/>
        <w:rPr>
          <w:rFonts w:hint="eastAsia"/>
          <w:szCs w:val="21"/>
          <w:lang w:val="en-US" w:eastAsia="zh-CN"/>
        </w:rPr>
      </w:pPr>
      <w:r>
        <w:rPr>
          <w:rFonts w:hint="eastAsia"/>
          <w:szCs w:val="21"/>
          <w:lang w:val="en-US" w:eastAsia="zh-CN"/>
        </w:rPr>
        <w:t>In this contribution, we discussed the remaining issues on CHO with candidate SCG(s).</w:t>
      </w:r>
    </w:p>
    <w:p>
      <w:pPr>
        <w:pStyle w:val="2"/>
        <w:spacing w:before="120" w:after="120"/>
      </w:pPr>
      <w:r>
        <w:rPr>
          <w:rFonts w:hint="eastAsia"/>
        </w:rPr>
        <w:t>Discussion</w:t>
      </w:r>
      <w:r>
        <w:t>s</w:t>
      </w:r>
      <w:r>
        <w:rPr>
          <w:rFonts w:hint="eastAsia"/>
        </w:rPr>
        <w:t xml:space="preserve"> </w:t>
      </w:r>
    </w:p>
    <w:p>
      <w:pPr>
        <w:pStyle w:val="3"/>
        <w:bidi w:val="0"/>
        <w:rPr>
          <w:rFonts w:hint="default"/>
          <w:lang w:val="en-US" w:eastAsia="zh-CN"/>
        </w:rPr>
      </w:pPr>
      <w:r>
        <w:rPr>
          <w:rFonts w:hint="eastAsia"/>
          <w:lang w:val="en-US" w:eastAsia="zh-CN"/>
        </w:rPr>
        <w:t>Maximum number of conditional reconfigurations</w:t>
      </w:r>
    </w:p>
    <w:p>
      <w:pPr>
        <w:widowControl w:val="0"/>
        <w:numPr>
          <w:ilvl w:val="0"/>
          <w:numId w:val="0"/>
        </w:numPr>
        <w:ind w:leftChars="0"/>
        <w:jc w:val="both"/>
        <w:rPr>
          <w:rFonts w:hint="eastAsia"/>
          <w:b w:val="0"/>
          <w:bCs w:val="0"/>
          <w:lang w:val="en-US" w:eastAsia="zh-CN"/>
        </w:rPr>
      </w:pPr>
      <w:r>
        <w:rPr>
          <w:rFonts w:hint="eastAsia"/>
          <w:b w:val="0"/>
          <w:bCs w:val="0"/>
          <w:lang w:val="en-US" w:eastAsia="zh-CN"/>
        </w:rPr>
        <w:t>At last meeting, RAN2 discussed the maximum number of conditional reconfigurations and assumed the maximum number is 8, i.e. to reuse the maxNrofCondCells-r16. From the NW perspective, we think it</w:t>
      </w:r>
      <w:r>
        <w:rPr>
          <w:rFonts w:hint="default"/>
          <w:b w:val="0"/>
          <w:bCs w:val="0"/>
          <w:lang w:val="en-US" w:eastAsia="zh-CN"/>
        </w:rPr>
        <w:t>’</w:t>
      </w:r>
      <w:r>
        <w:rPr>
          <w:rFonts w:hint="eastAsia"/>
          <w:b w:val="0"/>
          <w:bCs w:val="0"/>
          <w:lang w:val="en-US" w:eastAsia="zh-CN"/>
        </w:rPr>
        <w:t>s sufficient to provide 8 candidate configurations for PCell and/or PSCell mobility, regardless of whether the coexistence of Rel-16/Rel-17/Rel-18 CHO and CPA/CPC is configured or not. Thus, we see no strong need to support the higher number than 8.</w:t>
      </w:r>
    </w:p>
    <w:p>
      <w:pPr>
        <w:pStyle w:val="20"/>
        <w:bidi w:val="0"/>
        <w:rPr>
          <w:rFonts w:hint="eastAsia"/>
          <w:lang w:val="en-US" w:eastAsia="zh-CN"/>
        </w:rPr>
      </w:pPr>
      <w:r>
        <w:rPr>
          <w:rFonts w:hint="eastAsia"/>
          <w:lang w:val="en-US" w:eastAsia="zh-CN"/>
        </w:rPr>
        <w:t>RAN2 confirms the maximum number of conditional reconfigurations is 8, i.e. no need to introduce optional additional UE capability for higher number.</w:t>
      </w:r>
    </w:p>
    <w:p>
      <w:pPr>
        <w:pStyle w:val="3"/>
        <w:bidi w:val="0"/>
        <w:rPr>
          <w:rFonts w:hint="default"/>
          <w:lang w:val="en-US" w:eastAsia="zh-CN"/>
        </w:rPr>
      </w:pPr>
      <w:r>
        <w:rPr>
          <w:rFonts w:hint="eastAsia"/>
          <w:lang w:val="en-US" w:eastAsia="zh-CN"/>
        </w:rPr>
        <w:t>Execution condition parameters for the candidate PSCell</w:t>
      </w:r>
    </w:p>
    <w:p>
      <w:pPr>
        <w:bidi w:val="0"/>
        <w:rPr>
          <w:rFonts w:hint="eastAsia" w:eastAsia="宋体"/>
          <w:lang w:val="en-US" w:eastAsia="zh-CN"/>
        </w:rPr>
      </w:pPr>
      <w:r>
        <w:rPr>
          <w:rFonts w:hint="eastAsia" w:eastAsia="宋体"/>
          <w:lang w:val="en-US" w:eastAsia="zh-CN"/>
        </w:rPr>
        <w:t>RAN2 agreed that the legacy condEventA4 related parameters are provided by the candidate MN to the source MN for the execution condition for candidate PSCell, at least including a4-Threshold, hysteresis (optional), timeToTrigger (optional) and rsType (optional). But it</w:t>
      </w:r>
      <w:r>
        <w:rPr>
          <w:rFonts w:hint="default" w:eastAsia="宋体"/>
          <w:lang w:val="en-US" w:eastAsia="zh-CN"/>
        </w:rPr>
        <w:t>’</w:t>
      </w:r>
      <w:r>
        <w:rPr>
          <w:rFonts w:hint="eastAsia" w:eastAsia="宋体"/>
          <w:lang w:val="en-US" w:eastAsia="zh-CN"/>
        </w:rPr>
        <w:t xml:space="preserve">s FFS whether more parameters are needed. </w:t>
      </w:r>
    </w:p>
    <w:p>
      <w:pPr>
        <w:bidi w:val="0"/>
        <w:rPr>
          <w:rFonts w:hint="default" w:eastAsia="宋体"/>
          <w:lang w:val="en-US" w:eastAsia="zh-CN"/>
        </w:rPr>
      </w:pPr>
      <w:r>
        <w:rPr>
          <w:rFonts w:hint="eastAsia" w:eastAsia="宋体"/>
          <w:lang w:val="en-US" w:eastAsia="zh-CN"/>
        </w:rPr>
        <w:t>The definition and configuration of CondEvent A4 in TS 38.331 [3] is shown as follows.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0" w:name="_Toc60776890"/>
            <w:bookmarkStart w:id="1" w:name="_Toc139045153"/>
            <w:r>
              <w:rPr>
                <w:rFonts w:ascii="Arial" w:hAnsi="Arial" w:eastAsia="Times New Roman" w:cs="Times New Roman"/>
                <w:sz w:val="24"/>
                <w:lang w:val="en-GB" w:eastAsia="ja-JP" w:bidi="ar-SA"/>
              </w:rPr>
              <w:t>5.5.4.5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Event A4 (Neighbour becomes better than threshold)</w:t>
            </w:r>
            <w:bookmarkEnd w:id="0"/>
            <w:bookmarkEnd w:id="1"/>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entering condition for this event to be satisfied when condition A4-1, as specified below, is fulfilled;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leaving condition for this event to be satisfied when condition A4-2, as specified below, is fulfilled.</w:t>
            </w:r>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ko-KR"/>
              </w:rPr>
              <w:t>Inequality</w:t>
            </w:r>
            <w:r>
              <w:rPr>
                <w:rFonts w:ascii="Times New Roman" w:hAnsi="Times New Roman" w:eastAsia="Times New Roman" w:cs="Times New Roman"/>
                <w:kern w:val="0"/>
                <w:lang w:val="en-GB" w:eastAsia="ja-JP"/>
              </w:rPr>
              <w:t xml:space="preserve"> A4-1 (Entering condition)</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i/>
                <w:iCs/>
                <w:lang w:val="en-GB" w:eastAsia="ja-JP" w:bidi="ar-SA"/>
              </w:rPr>
              <w:t>Mn + Ofn + Ocn – Hys &gt; Thresh</w:t>
            </w:r>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ko-KR"/>
              </w:rPr>
              <w:t>Inequality</w:t>
            </w:r>
            <w:r>
              <w:rPr>
                <w:rFonts w:ascii="Times New Roman" w:hAnsi="Times New Roman" w:eastAsia="Times New Roman" w:cs="Times New Roman"/>
                <w:kern w:val="0"/>
                <w:lang w:val="en-GB" w:eastAsia="ja-JP"/>
              </w:rPr>
              <w:t xml:space="preserve"> A4-2 (Leaving condition)</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i/>
                <w:iCs/>
                <w:lang w:val="en-GB" w:eastAsia="ja-JP" w:bidi="ar-SA"/>
              </w:rPr>
              <w:t>Mn + Ofn + Ocn + Hys &lt; Thresh</w:t>
            </w:r>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The variables in the formula are defined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 xml:space="preserve">Mn </w:t>
            </w:r>
            <w:r>
              <w:rPr>
                <w:rFonts w:ascii="Times New Roman" w:hAnsi="Times New Roman" w:eastAsia="Times New Roman" w:cs="Times New Roman"/>
                <w:lang w:val="en-GB" w:eastAsia="ja-JP" w:bidi="ar-SA"/>
              </w:rPr>
              <w:t>is the measurement result of the neighbouring cell, not taking into account any offsets.</w:t>
            </w:r>
          </w:p>
          <w:p>
            <w:pPr>
              <w:overflowPunct w:val="0"/>
              <w:autoSpaceDE w:val="0"/>
              <w:autoSpaceDN w:val="0"/>
              <w:adjustRightInd w:val="0"/>
              <w:spacing w:after="180"/>
              <w:ind w:left="568" w:hanging="284"/>
              <w:textAlignment w:val="baseline"/>
              <w:rPr>
                <w:rFonts w:ascii="Times New Roman" w:hAnsi="Times New Roman" w:eastAsia="Times New Roman" w:cs="Times New Roman"/>
                <w:i/>
                <w:highlight w:val="green"/>
                <w:lang w:val="en-GB" w:eastAsia="ja-JP" w:bidi="ar-SA"/>
              </w:rPr>
            </w:pPr>
            <w:r>
              <w:rPr>
                <w:rFonts w:ascii="Times New Roman" w:hAnsi="Times New Roman" w:eastAsia="Times New Roman" w:cs="Times New Roman"/>
                <w:b/>
                <w:i/>
                <w:highlight w:val="green"/>
                <w:lang w:val="en-GB" w:eastAsia="ja-JP" w:bidi="ar-SA"/>
              </w:rPr>
              <w:t xml:space="preserve">Ofn </w:t>
            </w:r>
            <w:r>
              <w:rPr>
                <w:rFonts w:ascii="Times New Roman" w:hAnsi="Times New Roman" w:eastAsia="Times New Roman" w:cs="Times New Roman"/>
                <w:highlight w:val="green"/>
                <w:lang w:val="en-GB" w:eastAsia="ja-JP" w:bidi="ar-SA"/>
              </w:rPr>
              <w:t xml:space="preserve">is the measurement object specific offset of the neighbour cell (i.e. </w:t>
            </w:r>
            <w:r>
              <w:rPr>
                <w:rFonts w:ascii="Times New Roman" w:hAnsi="Times New Roman" w:eastAsia="Times New Roman" w:cs="Times New Roman"/>
                <w:i/>
                <w:highlight w:val="green"/>
                <w:lang w:val="en-GB" w:eastAsia="ja-JP" w:bidi="ar-SA"/>
              </w:rPr>
              <w:t>offsetMO</w:t>
            </w:r>
            <w:r>
              <w:rPr>
                <w:rFonts w:ascii="Times New Roman" w:hAnsi="Times New Roman" w:eastAsia="Times New Roman" w:cs="Times New Roman"/>
                <w:highlight w:val="green"/>
                <w:lang w:val="en-GB" w:eastAsia="ja-JP" w:bidi="ar-SA"/>
              </w:rPr>
              <w:t xml:space="preserve"> as defined within </w:t>
            </w:r>
            <w:r>
              <w:rPr>
                <w:rFonts w:ascii="Times New Roman" w:hAnsi="Times New Roman" w:eastAsia="Times New Roman" w:cs="Times New Roman"/>
                <w:i/>
                <w:highlight w:val="green"/>
                <w:lang w:val="en-GB" w:eastAsia="ja-JP" w:bidi="ar-SA"/>
              </w:rPr>
              <w:t>measObjectNR</w:t>
            </w:r>
            <w:r>
              <w:rPr>
                <w:rFonts w:ascii="Times New Roman" w:hAnsi="Times New Roman" w:eastAsia="Times New Roman" w:cs="Times New Roman"/>
                <w:highlight w:val="green"/>
                <w:lang w:val="en-GB" w:eastAsia="ja-JP" w:bidi="ar-SA"/>
              </w:rPr>
              <w:t xml:space="preserve"> corresponding to the neighbour cell).</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green"/>
                <w:lang w:val="en-GB" w:eastAsia="ja-JP" w:bidi="ar-SA"/>
              </w:rPr>
            </w:pPr>
            <w:r>
              <w:rPr>
                <w:rFonts w:ascii="Times New Roman" w:hAnsi="Times New Roman" w:eastAsia="Times New Roman" w:cs="Times New Roman"/>
                <w:b/>
                <w:i/>
                <w:highlight w:val="green"/>
                <w:lang w:val="en-GB" w:eastAsia="ja-JP" w:bidi="ar-SA"/>
              </w:rPr>
              <w:t xml:space="preserve">Ocn </w:t>
            </w:r>
            <w:r>
              <w:rPr>
                <w:rFonts w:ascii="Times New Roman" w:hAnsi="Times New Roman" w:eastAsia="Times New Roman" w:cs="Times New Roman"/>
                <w:highlight w:val="green"/>
                <w:lang w:val="en-GB" w:eastAsia="ja-JP" w:bidi="ar-SA"/>
              </w:rPr>
              <w:t xml:space="preserve">is the measurement object specific offset of the neighbour cell (i.e. </w:t>
            </w:r>
            <w:r>
              <w:rPr>
                <w:rFonts w:ascii="Times New Roman" w:hAnsi="Times New Roman" w:eastAsia="Times New Roman" w:cs="Times New Roman"/>
                <w:i/>
                <w:highlight w:val="green"/>
                <w:lang w:val="en-GB" w:eastAsia="ja-JP" w:bidi="ar-SA"/>
              </w:rPr>
              <w:t>cellIndividualOffset</w:t>
            </w:r>
            <w:r>
              <w:rPr>
                <w:rFonts w:ascii="Times New Roman" w:hAnsi="Times New Roman" w:eastAsia="Times New Roman" w:cs="Times New Roman"/>
                <w:highlight w:val="green"/>
                <w:lang w:val="en-GB" w:eastAsia="ja-JP" w:bidi="ar-SA"/>
              </w:rPr>
              <w:t xml:space="preserve"> as defined within </w:t>
            </w:r>
            <w:r>
              <w:rPr>
                <w:rFonts w:ascii="Times New Roman" w:hAnsi="Times New Roman" w:eastAsia="Times New Roman" w:cs="Times New Roman"/>
                <w:i/>
                <w:highlight w:val="green"/>
                <w:lang w:val="en-GB" w:eastAsia="ja-JP" w:bidi="ar-SA"/>
              </w:rPr>
              <w:t>measObjectNR</w:t>
            </w:r>
            <w:r>
              <w:rPr>
                <w:rFonts w:ascii="Times New Roman" w:hAnsi="Times New Roman" w:eastAsia="Times New Roman" w:cs="Times New Roman"/>
                <w:highlight w:val="green"/>
                <w:lang w:val="en-GB" w:eastAsia="ja-JP" w:bidi="ar-SA"/>
              </w:rPr>
              <w:t xml:space="preserve"> corresponding to the neighbour cell), and set to zero if not configured for the neighbour cell.</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b/>
                <w:i/>
                <w:highlight w:val="yellow"/>
                <w:lang w:val="en-GB" w:eastAsia="ja-JP" w:bidi="ar-SA"/>
              </w:rPr>
              <w:t>Hys</w:t>
            </w:r>
            <w:r>
              <w:rPr>
                <w:rFonts w:ascii="Times New Roman" w:hAnsi="Times New Roman" w:eastAsia="Times New Roman" w:cs="Times New Roman"/>
                <w:highlight w:val="yellow"/>
                <w:lang w:val="en-GB" w:eastAsia="ja-JP" w:bidi="ar-SA"/>
              </w:rPr>
              <w:t xml:space="preserve"> is the hysteresis parameter for this event (i.e. </w:t>
            </w:r>
            <w:r>
              <w:rPr>
                <w:rFonts w:ascii="Times New Roman" w:hAnsi="Times New Roman" w:eastAsia="Times New Roman" w:cs="Times New Roman"/>
                <w:i/>
                <w:highlight w:val="yellow"/>
                <w:lang w:val="en-GB" w:eastAsia="ja-JP" w:bidi="ar-SA"/>
              </w:rPr>
              <w:t>hysteresis</w:t>
            </w:r>
            <w:r>
              <w:rPr>
                <w:rFonts w:ascii="Times New Roman" w:hAnsi="Times New Roman" w:eastAsia="Times New Roman" w:cs="Times New Roman"/>
                <w:highlight w:val="yellow"/>
                <w:lang w:val="en-GB" w:eastAsia="ja-JP" w:bidi="ar-SA"/>
              </w:rPr>
              <w:t xml:space="preserve"> as defined within</w:t>
            </w:r>
            <w:r>
              <w:rPr>
                <w:rFonts w:ascii="Times New Roman" w:hAnsi="Times New Roman" w:eastAsia="Times New Roman" w:cs="Times New Roman"/>
                <w:i/>
                <w:highlight w:val="yellow"/>
                <w:lang w:val="en-GB" w:eastAsia="ja-JP" w:bidi="ar-SA"/>
              </w:rPr>
              <w:t xml:space="preserve"> reportConfigNR </w:t>
            </w:r>
            <w:r>
              <w:rPr>
                <w:rFonts w:ascii="Times New Roman" w:hAnsi="Times New Roman" w:eastAsia="Times New Roman" w:cs="Times New Roman"/>
                <w:highlight w:val="yellow"/>
                <w:lang w:val="en-GB" w:eastAsia="ja-JP" w:bidi="ar-SA"/>
              </w:rPr>
              <w:t>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b/>
                <w:i/>
                <w:highlight w:val="yellow"/>
                <w:lang w:val="en-GB" w:eastAsia="ja-JP" w:bidi="ar-SA"/>
              </w:rPr>
              <w:t>Thresh</w:t>
            </w:r>
            <w:r>
              <w:rPr>
                <w:rFonts w:ascii="Times New Roman" w:hAnsi="Times New Roman" w:eastAsia="Times New Roman" w:cs="Times New Roman"/>
                <w:highlight w:val="yellow"/>
                <w:lang w:val="en-GB" w:eastAsia="ja-JP" w:bidi="ar-SA"/>
              </w:rPr>
              <w:t xml:space="preserve"> is the threshold parameter for this event (i.e. </w:t>
            </w:r>
            <w:r>
              <w:rPr>
                <w:rFonts w:ascii="Times New Roman" w:hAnsi="Times New Roman" w:eastAsia="Times New Roman" w:cs="Times New Roman"/>
                <w:i/>
                <w:highlight w:val="yellow"/>
                <w:lang w:val="en-GB" w:eastAsia="ja-JP" w:bidi="ar-SA"/>
              </w:rPr>
              <w:t xml:space="preserve">a4-Threshold </w:t>
            </w:r>
            <w:r>
              <w:rPr>
                <w:rFonts w:ascii="Times New Roman" w:hAnsi="Times New Roman" w:eastAsia="Times New Roman" w:cs="Times New Roman"/>
                <w:highlight w:val="yellow"/>
                <w:lang w:val="en-GB" w:eastAsia="ja-JP" w:bidi="ar-SA"/>
              </w:rPr>
              <w:t>as defined within</w:t>
            </w:r>
            <w:r>
              <w:rPr>
                <w:rFonts w:ascii="Times New Roman" w:hAnsi="Times New Roman" w:eastAsia="Times New Roman" w:cs="Times New Roman"/>
                <w:i/>
                <w:highlight w:val="yellow"/>
                <w:lang w:val="en-GB" w:eastAsia="ja-JP" w:bidi="ar-SA"/>
              </w:rPr>
              <w:t xml:space="preserve"> reportConfigNR </w:t>
            </w:r>
            <w:r>
              <w:rPr>
                <w:rFonts w:ascii="Times New Roman" w:hAnsi="Times New Roman" w:eastAsia="Times New Roman" w:cs="Times New Roman"/>
                <w:highlight w:val="yellow"/>
                <w:lang w:val="en-GB" w:eastAsia="ja-JP" w:bidi="ar-SA"/>
              </w:rPr>
              <w:t>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 xml:space="preserve">Mn </w:t>
            </w:r>
            <w:r>
              <w:rPr>
                <w:rFonts w:ascii="Times New Roman" w:hAnsi="Times New Roman" w:eastAsia="Times New Roman" w:cs="Times New Roman"/>
                <w:lang w:val="en-GB" w:eastAsia="ja-JP" w:bidi="ar-SA"/>
              </w:rPr>
              <w:t>is expressed in dBm</w:t>
            </w:r>
            <w:r>
              <w:rPr>
                <w:rFonts w:ascii="Times New Roman" w:hAnsi="Times New Roman" w:eastAsia="Times New Roman" w:cs="Times New Roman"/>
                <w:lang w:val="en-GB" w:eastAsia="ko-KR" w:bidi="ar-SA"/>
              </w:rPr>
              <w:t xml:space="preserve"> in case of RSRP, or in dB in case of RSRQ</w:t>
            </w:r>
            <w:r>
              <w:rPr>
                <w:rFonts w:ascii="Times New Roman" w:hAnsi="Times New Roman" w:eastAsia="Times New Roman" w:cs="Times New Roman"/>
                <w:lang w:val="en-GB" w:eastAsia="ja-JP" w:bidi="ar-SA"/>
              </w:rPr>
              <w:t xml:space="preserve"> and RS-SINR.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 xml:space="preserve">Ofn, Ocn, Hys </w:t>
            </w:r>
            <w:r>
              <w:rPr>
                <w:rFonts w:ascii="Times New Roman" w:hAnsi="Times New Roman" w:eastAsia="Times New Roman" w:cs="Times New Roman"/>
                <w:lang w:val="en-GB" w:eastAsia="ja-JP" w:bidi="ar-SA"/>
              </w:rPr>
              <w:t>are expressed in dB.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Thres</w:t>
            </w:r>
            <w:r>
              <w:rPr>
                <w:rFonts w:ascii="Times New Roman" w:hAnsi="Times New Roman" w:eastAsia="Times New Roman" w:cs="Times New Roman"/>
                <w:b/>
                <w:i/>
                <w:lang w:val="en-GB" w:eastAsia="ko-KR" w:bidi="ar-SA"/>
              </w:rPr>
              <w:t xml:space="preserve">h </w:t>
            </w:r>
            <w:r>
              <w:rPr>
                <w:rFonts w:ascii="Times New Roman" w:hAnsi="Times New Roman" w:eastAsia="Times New Roman" w:cs="Times New Roman"/>
                <w:lang w:val="en-GB" w:eastAsia="ko-KR" w:bidi="ar-SA"/>
              </w:rPr>
              <w:t>is</w:t>
            </w:r>
            <w:r>
              <w:rPr>
                <w:rFonts w:ascii="Times New Roman" w:hAnsi="Times New Roman" w:eastAsia="Times New Roman" w:cs="Times New Roman"/>
                <w:lang w:val="en-GB" w:eastAsia="ja-JP" w:bidi="ar-SA"/>
              </w:rPr>
              <w:t xml:space="preserve"> expressed in the same unit as </w:t>
            </w:r>
            <w:r>
              <w:rPr>
                <w:rFonts w:ascii="Times New Roman" w:hAnsi="Times New Roman" w:eastAsia="Times New Roman" w:cs="Times New Roman"/>
                <w:b/>
                <w:i/>
                <w:lang w:val="en-GB" w:eastAsia="ja-JP" w:bidi="ar-SA"/>
              </w:rPr>
              <w:t>Mn</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hint="eastAsia"/>
                <w:vertAlign w:val="baseline"/>
              </w:rPr>
            </w:pPr>
            <w:r>
              <w:rPr>
                <w:rFonts w:ascii="Times New Roman" w:hAnsi="Times New Roman" w:eastAsia="Times New Roman" w:cs="Times New Roman"/>
                <w:highlight w:val="yellow"/>
                <w:lang w:val="en-GB" w:eastAsia="ko-KR" w:bidi="ar-SA"/>
              </w:rPr>
              <w:t>NOTE:</w:t>
            </w:r>
            <w:r>
              <w:rPr>
                <w:rFonts w:ascii="Times New Roman" w:hAnsi="Times New Roman" w:eastAsia="Times New Roman" w:cs="Times New Roman"/>
                <w:highlight w:val="yellow"/>
                <w:lang w:val="en-GB" w:eastAsia="ko-KR" w:bidi="ar-SA"/>
              </w:rPr>
              <w:tab/>
            </w:r>
            <w:r>
              <w:rPr>
                <w:rFonts w:ascii="Times New Roman" w:hAnsi="Times New Roman" w:eastAsia="Times New Roman" w:cs="Times New Roman"/>
                <w:highlight w:val="yellow"/>
                <w:lang w:val="en-GB" w:eastAsia="ko-KR" w:bidi="ar-SA"/>
              </w:rPr>
              <w:t>The definition of Event A4 also applies to CondEvent A4.</w:t>
            </w:r>
          </w:p>
        </w:tc>
      </w:tr>
    </w:tbl>
    <w:p>
      <w:pPr>
        <w:bidi w:val="0"/>
        <w:rPr>
          <w:rFonts w:hint="eastAsia" w:eastAsia="宋体"/>
          <w:lang w:val="en-US" w:eastAsia="zh-CN"/>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0"/>
            </w:pPr>
            <w:r>
              <w:rPr>
                <w:i/>
              </w:rPr>
              <w:t>ReportConfigNR</w:t>
            </w:r>
            <w:r>
              <w:t xml:space="preserve"> 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lang w:val="en-GB" w:eastAsia="en-GB"/>
              </w:rPr>
              <w:t xml:space="preserve">CondTriggerConfig-r16 ::=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lang w:val="en-GB" w:eastAsia="en-GB"/>
              </w:rPr>
              <w:t xml:space="preserve">    condEventId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lang w:val="en-GB" w:eastAsia="en-GB"/>
              </w:rPr>
              <w:t xml:space="preserve">        </w:t>
            </w:r>
            <w:r>
              <w:rPr>
                <w:rFonts w:ascii="Courier New" w:hAnsi="Courier New"/>
                <w:sz w:val="16"/>
                <w:szCs w:val="20"/>
                <w:highlight w:val="yellow"/>
                <w:lang w:val="en-GB" w:eastAsia="en-GB"/>
              </w:rPr>
              <w:t xml:space="preserve">condEventA4-r17                  </w:t>
            </w:r>
            <w:r>
              <w:rPr>
                <w:rFonts w:ascii="Courier New" w:hAnsi="Courier New"/>
                <w:color w:val="993366"/>
                <w:sz w:val="16"/>
                <w:szCs w:val="20"/>
                <w:highlight w:val="yellow"/>
                <w:lang w:val="en-GB" w:eastAsia="en-GB"/>
              </w:rPr>
              <w:t>SEQUENCE</w:t>
            </w:r>
            <w:r>
              <w:rPr>
                <w:rFonts w:ascii="Courier New" w:hAnsi="Courier New"/>
                <w:sz w:val="16"/>
                <w:szCs w:val="20"/>
                <w:highlight w:val="yellow"/>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highlight w:val="yellow"/>
                <w:lang w:val="en-GB" w:eastAsia="en-GB"/>
              </w:rPr>
              <w:t xml:space="preserve">            a4-Threshold-r17                 MeasTriggerQuantity,</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highlight w:val="yellow"/>
                <w:lang w:val="en-GB" w:eastAsia="en-GB"/>
              </w:rPr>
              <w:t xml:space="preserve">            hysteresis-r17                   Hysteresis,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highlight w:val="yellow"/>
                <w:lang w:val="en-GB" w:eastAsia="en-GB"/>
              </w:rPr>
              <w:t xml:space="preserve">            timeToTrigger-r17                TimeToTrigger</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highlight w:val="yellow"/>
                <w:lang w:val="en-GB" w:eastAsia="en-GB"/>
              </w:rPr>
              <w:t xml:space="preserve">        }</w:t>
            </w:r>
            <w:r>
              <w:rPr>
                <w:rFonts w:ascii="Courier New" w:hAnsi="Courier New"/>
                <w:sz w:val="16"/>
                <w:szCs w:val="20"/>
                <w:lang w:val="en-GB" w:eastAsia="en-GB"/>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ind w:firstLine="320"/>
              <w:jc w:val="both"/>
              <w:textAlignment w:val="baseline"/>
              <w:rPr>
                <w:rFonts w:ascii="Courier New" w:hAnsi="Courier New"/>
                <w:sz w:val="16"/>
                <w:szCs w:val="20"/>
                <w:lang w:val="en-GB" w:eastAsia="en-GB"/>
              </w:rPr>
            </w:pPr>
            <w:r>
              <w:rPr>
                <w:rFonts w:ascii="Courier New" w:hAnsi="Courier New"/>
                <w:sz w:val="16"/>
                <w:szCs w:val="20"/>
                <w:lang w:val="en-GB" w:eastAsia="en-GB"/>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textAlignment w:val="baseline"/>
              <w:rPr>
                <w:rFonts w:ascii="Courier New" w:hAnsi="Courier New" w:eastAsia="Times New Roman"/>
                <w:sz w:val="16"/>
                <w:highlight w:val="yellow"/>
                <w:lang w:eastAsia="en-GB"/>
              </w:rPr>
            </w:pPr>
            <w:r>
              <w:rPr>
                <w:rFonts w:ascii="Courier New" w:hAnsi="Courier New" w:eastAsia="Times New Roman"/>
                <w:sz w:val="16"/>
                <w:highlight w:val="yellow"/>
                <w:lang w:eastAsia="en-GB"/>
              </w:rPr>
              <w:t xml:space="preserve">    rsType-r16                       NR-RS-Type,</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textAlignment w:val="baseline"/>
              <w:rPr>
                <w:rFonts w:hint="eastAsia" w:eastAsia="宋体"/>
                <w:vertAlign w:val="baseline"/>
                <w:lang w:val="en-US" w:eastAsia="zh-CN"/>
              </w:rPr>
            </w:pPr>
            <w:r>
              <w:rPr>
                <w:rFonts w:hint="eastAsia" w:ascii="Courier New" w:hAnsi="Courier New" w:eastAsia="宋体"/>
                <w:sz w:val="16"/>
                <w:szCs w:val="20"/>
                <w:lang w:val="en-US" w:eastAsia="zh-CN"/>
              </w:rPr>
              <w:t>}</w:t>
            </w:r>
          </w:p>
        </w:tc>
      </w:tr>
    </w:tbl>
    <w:p>
      <w:pPr>
        <w:bidi w:val="0"/>
        <w:rPr>
          <w:rFonts w:hint="eastAsia" w:eastAsia="宋体"/>
          <w:lang w:val="en-US" w:eastAsia="zh-CN"/>
        </w:rPr>
      </w:pPr>
      <w:r>
        <w:rPr>
          <w:rFonts w:hint="eastAsia" w:eastAsia="宋体"/>
          <w:lang w:val="en-US" w:eastAsia="zh-CN"/>
        </w:rPr>
        <w:t xml:space="preserve">In addition to the parameters provided in </w:t>
      </w:r>
      <w:r>
        <w:rPr>
          <w:rFonts w:hint="eastAsia" w:eastAsia="宋体"/>
          <w:i/>
          <w:iCs/>
          <w:lang w:val="en-US" w:eastAsia="zh-CN"/>
        </w:rPr>
        <w:t xml:space="preserve">ReportConfigNR </w:t>
      </w:r>
      <w:r>
        <w:rPr>
          <w:rFonts w:hint="eastAsia" w:eastAsia="宋体"/>
          <w:lang w:val="en-US" w:eastAsia="zh-CN"/>
        </w:rPr>
        <w:t xml:space="preserve">for CondEvent A4, the parameters </w:t>
      </w:r>
      <w:r>
        <w:rPr>
          <w:rFonts w:hint="eastAsia" w:eastAsia="宋体"/>
          <w:i/>
          <w:iCs/>
          <w:lang w:val="en-US" w:eastAsia="zh-CN"/>
        </w:rPr>
        <w:t xml:space="preserve">offsetMO </w:t>
      </w:r>
      <w:r>
        <w:rPr>
          <w:rFonts w:hint="eastAsia" w:eastAsia="宋体"/>
          <w:lang w:val="en-US" w:eastAsia="zh-CN"/>
        </w:rPr>
        <w:t xml:space="preserve">and </w:t>
      </w:r>
      <w:r>
        <w:rPr>
          <w:rFonts w:hint="eastAsia" w:eastAsia="宋体"/>
          <w:i/>
          <w:iCs/>
          <w:lang w:val="en-US" w:eastAsia="zh-CN"/>
        </w:rPr>
        <w:t xml:space="preserve">cellIndividualOffset </w:t>
      </w:r>
      <w:r>
        <w:rPr>
          <w:rFonts w:hint="eastAsia" w:eastAsia="宋体"/>
          <w:lang w:val="en-US" w:eastAsia="zh-CN"/>
        </w:rPr>
        <w:t xml:space="preserve">are also related to the condition formula of CondEvent A4. </w:t>
      </w:r>
    </w:p>
    <w:p>
      <w:pPr>
        <w:pStyle w:val="19"/>
        <w:bidi w:val="0"/>
        <w:rPr>
          <w:rFonts w:hint="default"/>
          <w:lang w:val="en-US" w:eastAsia="zh-CN"/>
        </w:rPr>
      </w:pPr>
      <w:r>
        <w:rPr>
          <w:rFonts w:hint="eastAsia"/>
          <w:lang w:val="en-US" w:eastAsia="zh-CN"/>
        </w:rPr>
        <w:t>In the current RRC spec, the parameters offsetMO and cellIndividualOffset are also related to the condition formula of CondEvent A4.</w:t>
      </w:r>
    </w:p>
    <w:p>
      <w:pPr>
        <w:bidi w:val="0"/>
        <w:rPr>
          <w:rFonts w:hint="default" w:ascii="Arial" w:hAnsi="Arial" w:eastAsia="MS Mincho" w:cs="Times New Roman"/>
          <w:szCs w:val="24"/>
          <w:lang w:val="en-US" w:eastAsia="en-GB" w:bidi="ar-SA"/>
        </w:rPr>
      </w:pPr>
      <w:r>
        <w:rPr>
          <w:rFonts w:hint="eastAsia" w:eastAsia="宋体"/>
          <w:lang w:val="en-US" w:eastAsia="zh-CN"/>
        </w:rPr>
        <w:t xml:space="preserve">Currently, the parameters </w:t>
      </w:r>
      <w:r>
        <w:rPr>
          <w:rFonts w:hint="eastAsia" w:eastAsia="宋体"/>
          <w:i/>
          <w:iCs/>
          <w:lang w:val="en-US" w:eastAsia="zh-CN"/>
        </w:rPr>
        <w:t xml:space="preserve">offsetMO </w:t>
      </w:r>
      <w:r>
        <w:rPr>
          <w:rFonts w:hint="eastAsia" w:eastAsia="宋体"/>
          <w:lang w:val="en-US" w:eastAsia="zh-CN"/>
        </w:rPr>
        <w:t xml:space="preserve">and </w:t>
      </w:r>
      <w:r>
        <w:rPr>
          <w:rFonts w:hint="eastAsia" w:eastAsia="宋体"/>
          <w:i/>
          <w:iCs/>
          <w:lang w:val="en-US" w:eastAsia="zh-CN"/>
        </w:rPr>
        <w:t xml:space="preserve">cellIndividualOffset </w:t>
      </w:r>
      <w:r>
        <w:rPr>
          <w:rFonts w:hint="eastAsia" w:eastAsia="宋体"/>
          <w:lang w:val="en-US" w:eastAsia="zh-CN"/>
        </w:rPr>
        <w:t xml:space="preserve">are provided in the </w:t>
      </w:r>
      <w:r>
        <w:rPr>
          <w:rFonts w:hint="eastAsia" w:eastAsia="宋体"/>
          <w:i/>
          <w:iCs/>
          <w:lang w:val="en-US" w:eastAsia="zh-CN"/>
        </w:rPr>
        <w:t xml:space="preserve">MeasObjectNR. </w:t>
      </w:r>
      <w:r>
        <w:rPr>
          <w:rFonts w:hint="eastAsia" w:eastAsia="宋体"/>
          <w:i w:val="0"/>
          <w:iCs w:val="0"/>
          <w:lang w:val="en-US" w:eastAsia="zh-CN"/>
        </w:rPr>
        <w:t>S</w:t>
      </w:r>
      <w:r>
        <w:rPr>
          <w:rFonts w:hint="eastAsia" w:eastAsia="宋体"/>
          <w:lang w:val="en-US" w:eastAsia="zh-CN"/>
        </w:rPr>
        <w:t>ome companies proposed that the source MN has known such parameters of candidate PSCells when initiating the preparation of CHO with candidate SCG(s). But the candidate MN may want to adjust such offset value when deciding to prepare the candidate PSCells. It would be more flexible to allow the candidate MN to transfer the desired value to the source MN as well. Besides, at last meeting, RAN2 agreed to introduce the cell specific offset value within the ReportConfig IE in TEI18 discussion. If the cell specific offset value is included in t</w:t>
      </w:r>
      <w:r>
        <w:rPr>
          <w:rFonts w:hint="eastAsia" w:eastAsia="宋体"/>
          <w:b w:val="0"/>
          <w:bCs w:val="0"/>
          <w:lang w:val="en-US" w:eastAsia="zh-CN"/>
        </w:rPr>
        <w:t xml:space="preserve">he </w:t>
      </w:r>
      <w:r>
        <w:rPr>
          <w:rFonts w:hint="eastAsia" w:eastAsia="宋体"/>
          <w:b w:val="0"/>
          <w:bCs w:val="0"/>
          <w:i/>
          <w:iCs/>
          <w:lang w:val="en-US" w:eastAsia="zh-CN"/>
        </w:rPr>
        <w:t>ReporConfig</w:t>
      </w:r>
      <w:r>
        <w:rPr>
          <w:rFonts w:hint="eastAsia" w:eastAsia="宋体"/>
          <w:lang w:val="en-US" w:eastAsia="zh-CN"/>
        </w:rPr>
        <w:t xml:space="preserve">, the UE can override the value indicated in the </w:t>
      </w:r>
      <w:r>
        <w:rPr>
          <w:rFonts w:hint="eastAsia" w:eastAsia="宋体"/>
          <w:i/>
          <w:iCs/>
          <w:lang w:val="en-US" w:eastAsia="zh-CN"/>
        </w:rPr>
        <w:t>MeasObjectNR.</w:t>
      </w:r>
      <w:r>
        <w:rPr>
          <w:rFonts w:hint="eastAsia" w:eastAsia="宋体"/>
          <w:lang w:val="en-US" w:eastAsia="zh-CN"/>
        </w:rPr>
        <w:t xml:space="preserve">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Agreements on cell individual offset</w:t>
      </w:r>
    </w:p>
    <w:p>
      <w:pPr>
        <w:numPr>
          <w:ilvl w:val="0"/>
          <w:numId w:val="9"/>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Cell specific offset value is introduced within the ReportConfig IE.  A new capability will be added</w:t>
      </w:r>
    </w:p>
    <w:p>
      <w:pPr>
        <w:pStyle w:val="19"/>
        <w:bidi w:val="0"/>
        <w:rPr>
          <w:rFonts w:hint="eastAsia"/>
          <w:lang w:val="en-US" w:eastAsia="zh-CN"/>
        </w:rPr>
      </w:pPr>
      <w:r>
        <w:rPr>
          <w:rFonts w:hint="eastAsia"/>
          <w:lang w:val="en-US" w:eastAsia="zh-CN"/>
        </w:rPr>
        <w:t>RAN2 agreed to introduce the cell specific offset value within the ReportConfig IE in TEI18 discussion.</w:t>
      </w:r>
    </w:p>
    <w:p>
      <w:pPr>
        <w:bidi w:val="0"/>
        <w:rPr>
          <w:rFonts w:hint="default" w:eastAsia="宋体"/>
          <w:lang w:val="en-US" w:eastAsia="zh-CN"/>
        </w:rPr>
      </w:pPr>
      <w:r>
        <w:rPr>
          <w:rFonts w:hint="eastAsia" w:eastAsia="宋体"/>
          <w:lang w:val="en-US" w:eastAsia="zh-CN"/>
        </w:rPr>
        <w:t xml:space="preserve">Thus, in order to support more precise adjustment for the CondEvent A4 threshold of the candidate PSCell, we think the candidate MN can also provide parameters </w:t>
      </w:r>
      <w:r>
        <w:rPr>
          <w:rFonts w:hint="eastAsia" w:eastAsia="宋体"/>
          <w:i/>
          <w:iCs/>
          <w:lang w:val="en-US" w:eastAsia="zh-CN"/>
        </w:rPr>
        <w:t xml:space="preserve">offsetMO </w:t>
      </w:r>
      <w:r>
        <w:rPr>
          <w:rFonts w:hint="eastAsia" w:eastAsia="宋体"/>
          <w:lang w:val="en-US" w:eastAsia="zh-CN"/>
        </w:rPr>
        <w:t xml:space="preserve">and </w:t>
      </w:r>
      <w:r>
        <w:rPr>
          <w:rFonts w:hint="eastAsia" w:eastAsia="宋体"/>
          <w:i/>
          <w:iCs/>
          <w:lang w:val="en-US" w:eastAsia="zh-CN"/>
        </w:rPr>
        <w:t>cellIndividualOffset</w:t>
      </w:r>
      <w:r>
        <w:rPr>
          <w:rFonts w:hint="eastAsia" w:eastAsia="宋体"/>
          <w:lang w:val="en-US" w:eastAsia="zh-CN"/>
        </w:rPr>
        <w:t xml:space="preserve"> to the source MN for the execution condition for candidate PSCell.</w:t>
      </w:r>
    </w:p>
    <w:p>
      <w:pPr>
        <w:pStyle w:val="20"/>
        <w:bidi w:val="0"/>
        <w:rPr>
          <w:rFonts w:hint="eastAsia"/>
        </w:rPr>
      </w:pPr>
      <w:r>
        <w:rPr>
          <w:rFonts w:hint="eastAsia"/>
          <w:lang w:val="en-US" w:eastAsia="zh-CN"/>
        </w:rPr>
        <w:t>The parameters related to the formula of CondEvent A4 can also be provided by the candidate MN to the source MN for the execution condition of candidate PSCell, including:</w:t>
      </w:r>
    </w:p>
    <w:p>
      <w:pPr>
        <w:pStyle w:val="21"/>
        <w:bidi w:val="0"/>
        <w:rPr>
          <w:rFonts w:hint="eastAsia"/>
          <w:lang w:val="en-US" w:eastAsia="zh-CN"/>
        </w:rPr>
      </w:pPr>
      <w:r>
        <w:rPr>
          <w:rFonts w:hint="eastAsia"/>
          <w:lang w:val="en-US" w:eastAsia="zh-CN"/>
        </w:rPr>
        <w:t>offsetMO</w:t>
      </w:r>
    </w:p>
    <w:p>
      <w:pPr>
        <w:pStyle w:val="21"/>
        <w:bidi w:val="0"/>
        <w:rPr>
          <w:rFonts w:hint="eastAsia"/>
          <w:lang w:val="en-US" w:eastAsia="zh-CN"/>
        </w:rPr>
      </w:pPr>
      <w:r>
        <w:rPr>
          <w:rFonts w:hint="eastAsia"/>
          <w:lang w:val="en-US" w:eastAsia="zh-CN"/>
        </w:rPr>
        <w:t>cellIndividualOffset</w:t>
      </w:r>
    </w:p>
    <w:p>
      <w:pPr>
        <w:bidi w:val="0"/>
        <w:rPr>
          <w:rFonts w:hint="default" w:cs="Times New Roman"/>
          <w:b w:val="0"/>
          <w:bCs w:val="0"/>
          <w:sz w:val="20"/>
          <w:szCs w:val="20"/>
          <w:lang w:val="en-US" w:eastAsia="zh-CN"/>
        </w:rPr>
      </w:pPr>
      <w:r>
        <w:rPr>
          <w:rFonts w:hint="eastAsia" w:cs="Times New Roman"/>
          <w:b w:val="0"/>
          <w:bCs w:val="0"/>
          <w:sz w:val="20"/>
          <w:szCs w:val="20"/>
          <w:lang w:val="en-US" w:eastAsia="zh-CN"/>
        </w:rPr>
        <w:t xml:space="preserve">Another open issue for the execution condition transfer is whether to include the related parameters in the inter-node RRC message or Xn message. In our understanding, both options can work. Currently, for the inter-node RRC message defined in RRC spec, only </w:t>
      </w:r>
      <w:r>
        <w:rPr>
          <w:rFonts w:hint="eastAsia" w:cs="Times New Roman"/>
          <w:b w:val="0"/>
          <w:bCs w:val="0"/>
          <w:i/>
          <w:iCs/>
          <w:sz w:val="20"/>
          <w:szCs w:val="20"/>
          <w:lang w:val="en-US" w:eastAsia="zh-CN"/>
        </w:rPr>
        <w:t xml:space="preserve">HandoverCommand </w:t>
      </w:r>
      <w:r>
        <w:rPr>
          <w:rFonts w:hint="eastAsia" w:cs="Times New Roman"/>
          <w:b w:val="0"/>
          <w:bCs w:val="0"/>
          <w:sz w:val="20"/>
          <w:szCs w:val="20"/>
          <w:lang w:val="en-US" w:eastAsia="zh-CN"/>
        </w:rPr>
        <w:t>message is sent form the target node to the source node, which is used to transfer the handover command. It seems a bit strange to include the parameters related to execution condition into this inter-node RRC message. Otherwise, an new inter-node RRC message is required to be defined to transfer such information. Considering that RAN3 has decided to introduce an IE for Execution Condition Information in the HANDOVER REQUEST ACKNOWLEDGE message [3],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slightly preferred to include the execution condition related parameters in the Xn message directly. </w:t>
      </w:r>
    </w:p>
    <w:p>
      <w:pPr>
        <w:bidi w:val="0"/>
      </w:pPr>
      <w:r>
        <w:drawing>
          <wp:inline distT="0" distB="0" distL="114300" distR="114300">
            <wp:extent cx="6129655" cy="3604895"/>
            <wp:effectExtent l="0" t="0" r="444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29655" cy="3604895"/>
                    </a:xfrm>
                    <a:prstGeom prst="rect">
                      <a:avLst/>
                    </a:prstGeom>
                    <a:noFill/>
                    <a:ln>
                      <a:noFill/>
                    </a:ln>
                  </pic:spPr>
                </pic:pic>
              </a:graphicData>
            </a:graphic>
          </wp:inline>
        </w:drawing>
      </w:r>
    </w:p>
    <w:p>
      <w:pPr>
        <w:pStyle w:val="20"/>
        <w:bidi w:val="0"/>
        <w:rPr>
          <w:rFonts w:hint="eastAsia"/>
          <w:lang w:val="en-US" w:eastAsia="zh-CN"/>
        </w:rPr>
      </w:pPr>
      <w:r>
        <w:rPr>
          <w:rFonts w:hint="eastAsia"/>
          <w:lang w:val="en-US" w:eastAsia="zh-CN"/>
        </w:rPr>
        <w:t>The parameters related to execution condition of candidate PSCells are included in the Xn message, i.e. HANDOVER REQUEST ACKNOWLEDGE message.</w:t>
      </w:r>
    </w:p>
    <w:p>
      <w:pPr>
        <w:bidi w:val="0"/>
        <w:rPr>
          <w:rFonts w:hint="eastAsia"/>
          <w:lang w:val="en-US" w:eastAsia="zh-CN"/>
        </w:rPr>
      </w:pPr>
      <w:r>
        <w:rPr>
          <w:rFonts w:hint="eastAsia"/>
          <w:lang w:val="en-US" w:eastAsia="zh-CN"/>
        </w:rPr>
        <w:t>If proposal 3 is agreed, it</w:t>
      </w:r>
      <w:r>
        <w:rPr>
          <w:rFonts w:hint="default"/>
          <w:lang w:val="en-US" w:eastAsia="zh-CN"/>
        </w:rPr>
        <w:t>’</w:t>
      </w:r>
      <w:r>
        <w:rPr>
          <w:rFonts w:hint="eastAsia"/>
          <w:lang w:val="en-US" w:eastAsia="zh-CN"/>
        </w:rPr>
        <w:t>s proposed to send an LS to RAN3 to indicate RAN2 decision.</w:t>
      </w:r>
    </w:p>
    <w:p>
      <w:pPr>
        <w:pStyle w:val="20"/>
        <w:bidi w:val="0"/>
        <w:rPr>
          <w:rFonts w:hint="default"/>
          <w:lang w:val="en-US" w:eastAsia="zh-CN"/>
        </w:rPr>
      </w:pPr>
      <w:r>
        <w:rPr>
          <w:rFonts w:hint="eastAsia"/>
          <w:lang w:val="en-US" w:eastAsia="zh-CN"/>
        </w:rPr>
        <w:t>If proposal 3 is agreed, RAN2 sends an LS to RAN3 about this decision and parameters related to execution condition of candidate PSCells.</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spacing w:before="120" w:after="120"/>
        <w:rPr>
          <w:rFonts w:hint="default" w:eastAsia="宋体"/>
          <w:lang w:val="en-US" w:eastAsia="zh-CN"/>
        </w:rPr>
      </w:pPr>
      <w:r>
        <w:rPr>
          <w:rFonts w:hint="eastAsia" w:eastAsia="宋体"/>
          <w:lang w:val="en-US" w:eastAsia="zh-CN"/>
        </w:rPr>
        <w:t>In this contribution, we discussed remaining issues on CHO with candidate SCG(s) with the following observations and proposals:</w:t>
      </w:r>
    </w:p>
    <w:p>
      <w:pPr>
        <w:pStyle w:val="10"/>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the current RRC spec, the parameters offsetMO and cellIndividualOffset are also related to the condition formula of CondEvent A4.</w:t>
      </w:r>
    </w:p>
    <w:p>
      <w:pPr>
        <w:pStyle w:val="10"/>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RAN2 agreed to introduce the cell specific offset value within the ReportConfig IE in TEI18 discussion.</w:t>
      </w:r>
    </w:p>
    <w:p>
      <w:pPr>
        <w:spacing w:before="120" w:after="120"/>
      </w:pPr>
      <w:r>
        <w:fldChar w:fldCharType="end"/>
      </w:r>
    </w:p>
    <w:p>
      <w:pPr>
        <w:pStyle w:val="10"/>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RAN2 confirms the maximum number of conditional reconfigurations is 8, i.e. no need to introduce optional additional UE capability for higher number.</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2: </w:t>
      </w:r>
      <w:r>
        <w:rPr>
          <w:rFonts w:hint="eastAsia"/>
          <w:i w:val="0"/>
          <w:iCs w:val="0"/>
          <w:lang w:val="en-US" w:eastAsia="zh-CN"/>
        </w:rPr>
        <w:t>The parameters related to the formula of CondEvent A4 can also be provided by the candidate MN to the source MN for the execution condition of candidate PSCell, including:</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offsetMO</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cellIndividualOffset</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parameters related to execution condition of candidate PSCells are included in the Xn message, i.e. HANDOVER REQUEST ACKNOWLEDGE message.</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If proposal 3 is agreed, RAN2 sends an LS to RAN3 about this decision and parameters related to execution condition of candidate PSCells.</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5"/>
        <w:spacing w:before="120" w:after="120"/>
        <w:ind w:left="363" w:hanging="363"/>
        <w:rPr>
          <w:szCs w:val="20"/>
        </w:rPr>
      </w:pPr>
      <w:bookmarkStart w:id="2" w:name="_Ref31645"/>
      <w:bookmarkStart w:id="3" w:name="_Ref17466"/>
      <w:r>
        <w:rPr>
          <w:rFonts w:hint="eastAsia" w:eastAsia="宋体"/>
          <w:szCs w:val="20"/>
          <w:lang w:val="en-US" w:eastAsia="zh-CN"/>
        </w:rPr>
        <w:t>R</w:t>
      </w:r>
      <w:bookmarkEnd w:id="2"/>
      <w:r>
        <w:rPr>
          <w:rFonts w:hint="eastAsia" w:eastAsia="宋体"/>
          <w:szCs w:val="20"/>
          <w:lang w:val="en-US" w:eastAsia="zh-CN"/>
        </w:rPr>
        <w:t>AN2#123bis Session Chair Notes</w:t>
      </w:r>
      <w:bookmarkEnd w:id="3"/>
    </w:p>
    <w:p>
      <w:pPr>
        <w:pStyle w:val="25"/>
        <w:spacing w:before="120" w:after="120"/>
        <w:ind w:left="363" w:hanging="363"/>
        <w:rPr>
          <w:szCs w:val="20"/>
        </w:rPr>
      </w:pPr>
      <w:r>
        <w:rPr>
          <w:rFonts w:hint="eastAsia" w:eastAsia="宋体"/>
          <w:szCs w:val="20"/>
          <w:lang w:val="en-US" w:eastAsia="zh-CN"/>
        </w:rPr>
        <w:t>TS 38.331 v17.6.0</w:t>
      </w:r>
      <w:bookmarkStart w:id="4" w:name="_GoBack"/>
      <w:bookmarkEnd w:id="4"/>
    </w:p>
    <w:p>
      <w:pPr>
        <w:pStyle w:val="25"/>
        <w:spacing w:before="120" w:after="120"/>
        <w:ind w:left="363" w:hanging="363"/>
        <w:rPr>
          <w:szCs w:val="20"/>
        </w:rPr>
      </w:pPr>
      <w:r>
        <w:rPr>
          <w:rFonts w:hint="eastAsia"/>
          <w:szCs w:val="20"/>
        </w:rPr>
        <w:t>R3-235119</w:t>
      </w:r>
      <w:r>
        <w:rPr>
          <w:rFonts w:hint="eastAsia" w:eastAsia="宋体"/>
          <w:szCs w:val="20"/>
          <w:lang w:val="en-US" w:eastAsia="zh-CN"/>
        </w:rPr>
        <w:t xml:space="preserve">  </w:t>
      </w:r>
      <w:r>
        <w:rPr>
          <w:rFonts w:hint="eastAsia"/>
          <w:szCs w:val="20"/>
        </w:rPr>
        <w:t>(BL CR to 38.423) Introduction of CHO with SCG(s)</w:t>
      </w:r>
      <w:r>
        <w:rPr>
          <w:rFonts w:hint="eastAsia" w:eastAsia="宋体"/>
          <w:szCs w:val="20"/>
          <w:lang w:val="en-US" w:eastAsia="zh-CN"/>
        </w:rPr>
        <w:t xml:space="preserve">  Lenovo, Ericsson, Huawei</w:t>
      </w: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3"/>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25"/>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4"/>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D24346"/>
    <w:multiLevelType w:val="multilevel"/>
    <w:tmpl w:val="66D2434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70110F9F"/>
    <w:multiLevelType w:val="multilevel"/>
    <w:tmpl w:val="70110F9F"/>
    <w:lvl w:ilvl="0" w:tentative="0">
      <w:start w:val="1"/>
      <w:numFmt w:val="decimal"/>
      <w:pStyle w:val="19"/>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pStyle w:val="4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1"/>
      <w:lvlText w:val="•"/>
      <w:lvlJc w:val="left"/>
      <w:pPr>
        <w:tabs>
          <w:tab w:val="left" w:pos="420"/>
        </w:tabs>
        <w:ind w:left="420" w:hanging="378"/>
      </w:pPr>
      <w:rPr>
        <w:rFonts w:hint="default" w:ascii="Arial" w:hAnsi="Arial" w:cs="Arial"/>
      </w:rPr>
    </w:lvl>
  </w:abstractNum>
  <w:num w:numId="1">
    <w:abstractNumId w:val="2"/>
  </w:num>
  <w:num w:numId="2">
    <w:abstractNumId w:val="6"/>
  </w:num>
  <w:num w:numId="3">
    <w:abstractNumId w:val="4"/>
  </w:num>
  <w:num w:numId="4">
    <w:abstractNumId w:val="8"/>
  </w:num>
  <w:num w:numId="5">
    <w:abstractNumId w:val="0"/>
  </w:num>
  <w:num w:numId="6">
    <w:abstractNumId w:val="3"/>
  </w:num>
  <w:num w:numId="7">
    <w:abstractNumId w:val="1"/>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2B24AB"/>
    <w:rsid w:val="0555228E"/>
    <w:rsid w:val="059D1E39"/>
    <w:rsid w:val="05BA07B9"/>
    <w:rsid w:val="05E078B3"/>
    <w:rsid w:val="077D0583"/>
    <w:rsid w:val="079724D0"/>
    <w:rsid w:val="082A352F"/>
    <w:rsid w:val="08C349D1"/>
    <w:rsid w:val="08FD1F99"/>
    <w:rsid w:val="09F67CD5"/>
    <w:rsid w:val="0AC167FE"/>
    <w:rsid w:val="0B584155"/>
    <w:rsid w:val="0B9E71DF"/>
    <w:rsid w:val="0C9D30C2"/>
    <w:rsid w:val="0D9D65F4"/>
    <w:rsid w:val="0E172BD0"/>
    <w:rsid w:val="0E240AD9"/>
    <w:rsid w:val="0E350BFE"/>
    <w:rsid w:val="0EDF02B5"/>
    <w:rsid w:val="10936355"/>
    <w:rsid w:val="10A50104"/>
    <w:rsid w:val="115B3410"/>
    <w:rsid w:val="119D7849"/>
    <w:rsid w:val="1242135C"/>
    <w:rsid w:val="128B7441"/>
    <w:rsid w:val="13A1683F"/>
    <w:rsid w:val="14960C8D"/>
    <w:rsid w:val="14DA3DA1"/>
    <w:rsid w:val="17155857"/>
    <w:rsid w:val="17950508"/>
    <w:rsid w:val="17AD7BB9"/>
    <w:rsid w:val="18DE0890"/>
    <w:rsid w:val="19010C43"/>
    <w:rsid w:val="19084C73"/>
    <w:rsid w:val="1A054259"/>
    <w:rsid w:val="1A273CC1"/>
    <w:rsid w:val="1AA20BEC"/>
    <w:rsid w:val="1B7F6005"/>
    <w:rsid w:val="1B9D73EE"/>
    <w:rsid w:val="1C132CB9"/>
    <w:rsid w:val="1CCC26CA"/>
    <w:rsid w:val="1E056606"/>
    <w:rsid w:val="1E9D6342"/>
    <w:rsid w:val="1F355C9E"/>
    <w:rsid w:val="204E6676"/>
    <w:rsid w:val="2195668B"/>
    <w:rsid w:val="21BE5AD4"/>
    <w:rsid w:val="23081A49"/>
    <w:rsid w:val="2334383D"/>
    <w:rsid w:val="23CE335E"/>
    <w:rsid w:val="245B10E6"/>
    <w:rsid w:val="245C52F8"/>
    <w:rsid w:val="2463385E"/>
    <w:rsid w:val="24B36E39"/>
    <w:rsid w:val="250D568B"/>
    <w:rsid w:val="25134332"/>
    <w:rsid w:val="255D39AC"/>
    <w:rsid w:val="257E508F"/>
    <w:rsid w:val="2620585F"/>
    <w:rsid w:val="26BF5712"/>
    <w:rsid w:val="27401EA7"/>
    <w:rsid w:val="27AB7429"/>
    <w:rsid w:val="285C053E"/>
    <w:rsid w:val="286534F7"/>
    <w:rsid w:val="29FA7F26"/>
    <w:rsid w:val="2A0F29F0"/>
    <w:rsid w:val="2B774832"/>
    <w:rsid w:val="2C2A5573"/>
    <w:rsid w:val="2C3E7B79"/>
    <w:rsid w:val="2C946521"/>
    <w:rsid w:val="2CDE11E4"/>
    <w:rsid w:val="2DFF52B5"/>
    <w:rsid w:val="2F1251F2"/>
    <w:rsid w:val="30962F3E"/>
    <w:rsid w:val="30D17E68"/>
    <w:rsid w:val="30FF2795"/>
    <w:rsid w:val="320C4F70"/>
    <w:rsid w:val="329A6ACE"/>
    <w:rsid w:val="33607071"/>
    <w:rsid w:val="34B40374"/>
    <w:rsid w:val="35EB3B29"/>
    <w:rsid w:val="360B1D73"/>
    <w:rsid w:val="361F3323"/>
    <w:rsid w:val="36E93760"/>
    <w:rsid w:val="377E620D"/>
    <w:rsid w:val="3784394E"/>
    <w:rsid w:val="38773867"/>
    <w:rsid w:val="38AE3BB0"/>
    <w:rsid w:val="3A5B7A6E"/>
    <w:rsid w:val="3AC71DA2"/>
    <w:rsid w:val="3ACB5746"/>
    <w:rsid w:val="3B6B1A60"/>
    <w:rsid w:val="3BB20883"/>
    <w:rsid w:val="3C935077"/>
    <w:rsid w:val="3CCC3EC3"/>
    <w:rsid w:val="3CD06756"/>
    <w:rsid w:val="3DA8275C"/>
    <w:rsid w:val="3E441C7D"/>
    <w:rsid w:val="3E477FF4"/>
    <w:rsid w:val="3E4F2A18"/>
    <w:rsid w:val="3F4E77F0"/>
    <w:rsid w:val="3FC956FF"/>
    <w:rsid w:val="40A36A71"/>
    <w:rsid w:val="410E4736"/>
    <w:rsid w:val="41557C8C"/>
    <w:rsid w:val="41D3631F"/>
    <w:rsid w:val="41F466FD"/>
    <w:rsid w:val="42437EFC"/>
    <w:rsid w:val="42A67A24"/>
    <w:rsid w:val="42D846B9"/>
    <w:rsid w:val="430D7A82"/>
    <w:rsid w:val="432F1BB7"/>
    <w:rsid w:val="43760C95"/>
    <w:rsid w:val="43A55B32"/>
    <w:rsid w:val="440D5045"/>
    <w:rsid w:val="44F3408E"/>
    <w:rsid w:val="45BE6191"/>
    <w:rsid w:val="46065741"/>
    <w:rsid w:val="460C5979"/>
    <w:rsid w:val="46127194"/>
    <w:rsid w:val="47C01792"/>
    <w:rsid w:val="4808150F"/>
    <w:rsid w:val="49E9233D"/>
    <w:rsid w:val="4A42266B"/>
    <w:rsid w:val="4A775778"/>
    <w:rsid w:val="4AA46DCC"/>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6C4FB6"/>
    <w:rsid w:val="539A390F"/>
    <w:rsid w:val="53CF14EE"/>
    <w:rsid w:val="53DB3477"/>
    <w:rsid w:val="54AF6B42"/>
    <w:rsid w:val="55DD6F2A"/>
    <w:rsid w:val="55DF756C"/>
    <w:rsid w:val="56E23970"/>
    <w:rsid w:val="57155486"/>
    <w:rsid w:val="577A3C7D"/>
    <w:rsid w:val="578F220A"/>
    <w:rsid w:val="57FC07D9"/>
    <w:rsid w:val="58500F22"/>
    <w:rsid w:val="58765C98"/>
    <w:rsid w:val="591C0009"/>
    <w:rsid w:val="59293DB9"/>
    <w:rsid w:val="5ACF0F3A"/>
    <w:rsid w:val="5B376129"/>
    <w:rsid w:val="5C6B1600"/>
    <w:rsid w:val="5C921AD0"/>
    <w:rsid w:val="5DFD51DB"/>
    <w:rsid w:val="5E0D36E5"/>
    <w:rsid w:val="5E407679"/>
    <w:rsid w:val="5E7F7360"/>
    <w:rsid w:val="5E832D5F"/>
    <w:rsid w:val="5EB903DA"/>
    <w:rsid w:val="5ED456A8"/>
    <w:rsid w:val="5F6A1DBA"/>
    <w:rsid w:val="5FAE004A"/>
    <w:rsid w:val="5FF53D41"/>
    <w:rsid w:val="60140907"/>
    <w:rsid w:val="607C3753"/>
    <w:rsid w:val="60C30855"/>
    <w:rsid w:val="60EC3BF7"/>
    <w:rsid w:val="61421EFD"/>
    <w:rsid w:val="615C5041"/>
    <w:rsid w:val="644E12C7"/>
    <w:rsid w:val="64934878"/>
    <w:rsid w:val="65064EE2"/>
    <w:rsid w:val="664805B8"/>
    <w:rsid w:val="688564FF"/>
    <w:rsid w:val="68CB171E"/>
    <w:rsid w:val="690F418B"/>
    <w:rsid w:val="69FB7936"/>
    <w:rsid w:val="6A017B3A"/>
    <w:rsid w:val="6A154B1E"/>
    <w:rsid w:val="6A7A2736"/>
    <w:rsid w:val="6A7B4B9C"/>
    <w:rsid w:val="6B2D7A6A"/>
    <w:rsid w:val="6C89456C"/>
    <w:rsid w:val="6D663271"/>
    <w:rsid w:val="6EAA6458"/>
    <w:rsid w:val="6F901B66"/>
    <w:rsid w:val="6FA629D4"/>
    <w:rsid w:val="6FC05247"/>
    <w:rsid w:val="6FD10552"/>
    <w:rsid w:val="70BB2EF0"/>
    <w:rsid w:val="70FE10FE"/>
    <w:rsid w:val="72EF5E88"/>
    <w:rsid w:val="73414765"/>
    <w:rsid w:val="73455C21"/>
    <w:rsid w:val="73D425F7"/>
    <w:rsid w:val="7449169F"/>
    <w:rsid w:val="749E3D9F"/>
    <w:rsid w:val="750A2023"/>
    <w:rsid w:val="758F1863"/>
    <w:rsid w:val="7676736A"/>
    <w:rsid w:val="76933951"/>
    <w:rsid w:val="76FA3873"/>
    <w:rsid w:val="771D661B"/>
    <w:rsid w:val="771F7714"/>
    <w:rsid w:val="77317864"/>
    <w:rsid w:val="777E145F"/>
    <w:rsid w:val="78782A0D"/>
    <w:rsid w:val="79A2171F"/>
    <w:rsid w:val="79A252FF"/>
    <w:rsid w:val="79D33056"/>
    <w:rsid w:val="7ADE0D63"/>
    <w:rsid w:val="7B8873B1"/>
    <w:rsid w:val="7C26369C"/>
    <w:rsid w:val="7C9E5A24"/>
    <w:rsid w:val="7CAC00CB"/>
    <w:rsid w:val="7D575412"/>
    <w:rsid w:val="7D62117D"/>
    <w:rsid w:val="7DB275A7"/>
    <w:rsid w:val="7DB54254"/>
    <w:rsid w:val="7DDA5FF5"/>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widowControl/>
      <w:spacing w:before="40" w:after="120"/>
      <w:jc w:val="left"/>
    </w:pPr>
    <w:rPr>
      <w:rFonts w:ascii="Arial" w:hAnsi="Arial" w:eastAsia="MS Mincho"/>
      <w:kern w:val="0"/>
      <w:sz w:val="20"/>
      <w:lang w:val="en-GB" w:eastAsia="en-GB"/>
    </w:rPr>
  </w:style>
  <w:style w:type="paragraph" w:styleId="7">
    <w:name w:val="toc 3"/>
    <w:basedOn w:val="1"/>
    <w:next w:val="1"/>
    <w:link w:val="36"/>
    <w:unhideWhenUsed/>
    <w:qFormat/>
    <w:uiPriority w:val="39"/>
    <w:pPr>
      <w:ind w:left="880" w:leftChars="400"/>
    </w:pPr>
    <w:rPr>
      <w:b/>
      <w:i/>
    </w:rPr>
  </w:style>
  <w:style w:type="paragraph" w:styleId="8">
    <w:name w:val="footer"/>
    <w:link w:val="43"/>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9">
    <w:name w:val="header"/>
    <w:basedOn w:val="1"/>
    <w:link w:val="27"/>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0">
    <w:name w:val="toc 1"/>
    <w:basedOn w:val="1"/>
    <w:next w:val="1"/>
    <w:link w:val="30"/>
    <w:unhideWhenUsed/>
    <w:qFormat/>
    <w:uiPriority w:val="39"/>
    <w:rPr>
      <w:b/>
      <w:i/>
    </w:rPr>
  </w:style>
  <w:style w:type="paragraph" w:styleId="11">
    <w:name w:val="table of figures"/>
    <w:basedOn w:val="1"/>
    <w:next w:val="1"/>
    <w:semiHidden/>
    <w:unhideWhenUsed/>
    <w:qFormat/>
    <w:uiPriority w:val="99"/>
    <w:pPr>
      <w:ind w:left="200" w:leftChars="200" w:hanging="200" w:hangingChars="200"/>
    </w:pPr>
  </w:style>
  <w:style w:type="paragraph" w:styleId="12">
    <w:name w:val="toc 2"/>
    <w:basedOn w:val="1"/>
    <w:next w:val="1"/>
    <w:link w:val="33"/>
    <w:unhideWhenUsed/>
    <w:qFormat/>
    <w:uiPriority w:val="39"/>
    <w:pPr>
      <w:snapToGrid w:val="0"/>
      <w:ind w:left="618" w:leftChars="200"/>
    </w:pPr>
    <w:rPr>
      <w:b/>
      <w:i/>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Doc-title"/>
    <w:basedOn w:val="1"/>
    <w:next w:val="17"/>
    <w:qFormat/>
    <w:uiPriority w:val="0"/>
    <w:pPr>
      <w:widowControl/>
      <w:ind w:left="1260" w:hanging="1260"/>
      <w:jc w:val="left"/>
    </w:pPr>
    <w:rPr>
      <w:rFonts w:ascii="Arial" w:hAnsi="Arial" w:eastAsia="MS Mincho"/>
      <w:kern w:val="0"/>
      <w:sz w:val="20"/>
      <w:lang w:val="en-GB" w:eastAsia="en-GB"/>
    </w:rPr>
  </w:style>
  <w:style w:type="paragraph" w:customStyle="1" w:styleId="17">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18">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9">
    <w:name w:val="!ZTE-Observation-2021"/>
    <w:basedOn w:val="1"/>
    <w:qFormat/>
    <w:uiPriority w:val="0"/>
    <w:pPr>
      <w:numPr>
        <w:ilvl w:val="0"/>
        <w:numId w:val="2"/>
      </w:numPr>
      <w:snapToGrid w:val="0"/>
      <w:spacing w:before="50" w:after="50"/>
      <w:ind w:left="1273" w:hanging="1273" w:hangingChars="634"/>
      <w:jc w:val="both"/>
      <w:textAlignment w:val="center"/>
    </w:pPr>
    <w:rPr>
      <w:rFonts w:ascii="Times New Roman" w:hAnsi="Times New Roman" w:cs="宋体" w:eastAsiaTheme="minorEastAsia"/>
      <w:b/>
      <w:bCs/>
      <w:i/>
      <w:iCs/>
      <w:lang w:val="en-GB" w:eastAsia="en-US"/>
    </w:rPr>
  </w:style>
  <w:style w:type="paragraph" w:customStyle="1" w:styleId="20">
    <w:name w:val="!ZTE-Proposal-2021 + 段前: 0.5 行 段后: 0.5 行"/>
    <w:basedOn w:val="1"/>
    <w:qFormat/>
    <w:uiPriority w:val="0"/>
    <w:pPr>
      <w:numPr>
        <w:ilvl w:val="0"/>
        <w:numId w:val="3"/>
      </w:numPr>
      <w:spacing w:before="50" w:after="50"/>
      <w:ind w:left="1132" w:hanging="1132" w:hangingChars="564"/>
      <w:jc w:val="both"/>
    </w:pPr>
    <w:rPr>
      <w:rFonts w:ascii="Times New Roman" w:hAnsi="Times New Roman" w:cs="宋体" w:eastAsiaTheme="minorEastAsia"/>
      <w:b/>
      <w:bCs/>
      <w:iCs/>
      <w:lang w:val="en-GB"/>
    </w:rPr>
  </w:style>
  <w:style w:type="paragraph" w:customStyle="1" w:styleId="21">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2">
    <w:name w:val="sub-observation"/>
    <w:basedOn w:val="21"/>
    <w:qFormat/>
    <w:uiPriority w:val="0"/>
  </w:style>
  <w:style w:type="paragraph" w:customStyle="1" w:styleId="23">
    <w:name w:val="3rd level proposal"/>
    <w:basedOn w:val="21"/>
    <w:qFormat/>
    <w:uiPriority w:val="0"/>
    <w:pPr>
      <w:numPr>
        <w:ilvl w:val="0"/>
        <w:numId w:val="5"/>
      </w:numPr>
      <w:spacing w:before="50" w:after="50"/>
      <w:ind w:left="1199" w:leftChars="496" w:hanging="207" w:hangingChars="103"/>
    </w:pPr>
    <w:rPr>
      <w:rFonts w:ascii="Times New Roman" w:hAnsi="Times New Roman"/>
    </w:rPr>
  </w:style>
  <w:style w:type="paragraph" w:customStyle="1" w:styleId="24">
    <w:name w:val="3rd level observation"/>
    <w:basedOn w:val="22"/>
    <w:qFormat/>
    <w:uiPriority w:val="0"/>
    <w:pPr>
      <w:numPr>
        <w:ilvl w:val="0"/>
        <w:numId w:val="6"/>
      </w:numPr>
      <w:tabs>
        <w:tab w:val="left" w:pos="1134"/>
        <w:tab w:val="clear" w:pos="993"/>
      </w:tabs>
      <w:ind w:left="1131" w:leftChars="496" w:hanging="139" w:hangingChars="69"/>
    </w:pPr>
  </w:style>
  <w:style w:type="paragraph" w:customStyle="1" w:styleId="25">
    <w:name w:val="References"/>
    <w:basedOn w:val="1"/>
    <w:qFormat/>
    <w:uiPriority w:val="0"/>
    <w:pPr>
      <w:numPr>
        <w:ilvl w:val="0"/>
        <w:numId w:val="7"/>
      </w:numPr>
      <w:spacing w:after="60"/>
    </w:pPr>
    <w:rPr>
      <w:szCs w:val="16"/>
    </w:rPr>
  </w:style>
  <w:style w:type="paragraph" w:styleId="26">
    <w:name w:val="List Paragraph"/>
    <w:basedOn w:val="1"/>
    <w:qFormat/>
    <w:uiPriority w:val="34"/>
    <w:pPr>
      <w:spacing w:beforeLines="0"/>
      <w:ind w:left="720"/>
      <w:contextualSpacing/>
    </w:pPr>
    <w:rPr>
      <w:sz w:val="24"/>
      <w:szCs w:val="24"/>
    </w:rPr>
  </w:style>
  <w:style w:type="character" w:customStyle="1" w:styleId="27">
    <w:name w:val="页眉 字符"/>
    <w:basedOn w:val="15"/>
    <w:link w:val="9"/>
    <w:qFormat/>
    <w:uiPriority w:val="99"/>
    <w:rPr>
      <w:rFonts w:eastAsia="Times New Roman"/>
      <w:kern w:val="2"/>
      <w:sz w:val="18"/>
      <w:szCs w:val="18"/>
    </w:rPr>
  </w:style>
  <w:style w:type="paragraph" w:customStyle="1" w:styleId="28">
    <w:name w:val="ZTE-C-proposal"/>
    <w:basedOn w:val="10"/>
    <w:link w:val="31"/>
    <w:qFormat/>
    <w:uiPriority w:val="0"/>
    <w:pPr>
      <w:spacing w:before="120" w:after="120"/>
      <w:ind w:left="1104" w:hanging="1104" w:hangingChars="550"/>
    </w:pPr>
  </w:style>
  <w:style w:type="paragraph" w:customStyle="1" w:styleId="29">
    <w:name w:val="ZTE-C-subProposal"/>
    <w:basedOn w:val="12"/>
    <w:link w:val="34"/>
    <w:qFormat/>
    <w:uiPriority w:val="0"/>
    <w:pPr>
      <w:tabs>
        <w:tab w:val="left" w:pos="993"/>
        <w:tab w:val="right" w:leader="dot" w:pos="9650"/>
      </w:tabs>
      <w:spacing w:before="50" w:after="50"/>
      <w:ind w:left="708" w:leftChars="354"/>
    </w:pPr>
    <w:rPr>
      <w:rFonts w:ascii="Times New Roman" w:hAnsi="Times New Roman" w:eastAsia="Times New Roman"/>
      <w:i w:val="0"/>
    </w:rPr>
  </w:style>
  <w:style w:type="character" w:customStyle="1" w:styleId="30">
    <w:name w:val="TOC 1 字符"/>
    <w:basedOn w:val="15"/>
    <w:link w:val="10"/>
    <w:qFormat/>
    <w:uiPriority w:val="39"/>
    <w:rPr>
      <w:rFonts w:eastAsia="Times New Roman"/>
      <w:b/>
      <w:i/>
      <w:kern w:val="2"/>
    </w:rPr>
  </w:style>
  <w:style w:type="character" w:customStyle="1" w:styleId="31">
    <w:name w:val="ZTE-C-proposal 字符"/>
    <w:basedOn w:val="30"/>
    <w:link w:val="28"/>
    <w:qFormat/>
    <w:uiPriority w:val="0"/>
    <w:rPr>
      <w:rFonts w:eastAsia="Times New Roman"/>
      <w:color w:val="000000"/>
      <w:kern w:val="2"/>
    </w:rPr>
  </w:style>
  <w:style w:type="paragraph" w:customStyle="1" w:styleId="32">
    <w:name w:val="ZTE-C-3rd level proposal"/>
    <w:basedOn w:val="7"/>
    <w:link w:val="37"/>
    <w:qFormat/>
    <w:uiPriority w:val="0"/>
    <w:pPr>
      <w:tabs>
        <w:tab w:val="left" w:pos="1276"/>
        <w:tab w:val="right" w:leader="dot" w:pos="9650"/>
      </w:tabs>
      <w:spacing w:before="120" w:after="120"/>
      <w:ind w:left="1134" w:leftChars="567"/>
    </w:pPr>
  </w:style>
  <w:style w:type="character" w:customStyle="1" w:styleId="33">
    <w:name w:val="TOC 2 字符"/>
    <w:basedOn w:val="15"/>
    <w:link w:val="12"/>
    <w:qFormat/>
    <w:uiPriority w:val="39"/>
    <w:rPr>
      <w:rFonts w:eastAsia="Times New Roman"/>
      <w:b/>
      <w:i/>
      <w:kern w:val="2"/>
    </w:rPr>
  </w:style>
  <w:style w:type="character" w:customStyle="1" w:styleId="34">
    <w:name w:val="ZTE-C-subProposal 字符"/>
    <w:basedOn w:val="33"/>
    <w:link w:val="29"/>
    <w:qFormat/>
    <w:uiPriority w:val="0"/>
    <w:rPr>
      <w:rFonts w:ascii="Times New Roman" w:hAnsi="Times New Roman" w:eastAsia="Times New Roman"/>
      <w:i w:val="0"/>
      <w:kern w:val="2"/>
    </w:rPr>
  </w:style>
  <w:style w:type="paragraph" w:customStyle="1" w:styleId="35">
    <w:name w:val="ZTE-C-Observation"/>
    <w:basedOn w:val="10"/>
    <w:link w:val="39"/>
    <w:qFormat/>
    <w:uiPriority w:val="0"/>
    <w:pPr>
      <w:tabs>
        <w:tab w:val="left" w:pos="1470"/>
        <w:tab w:val="right" w:pos="9650"/>
      </w:tabs>
      <w:spacing w:before="120" w:after="120"/>
      <w:ind w:left="1273" w:hanging="1273" w:hangingChars="634"/>
    </w:pPr>
  </w:style>
  <w:style w:type="character" w:customStyle="1" w:styleId="36">
    <w:name w:val="TOC 3 字符"/>
    <w:basedOn w:val="15"/>
    <w:link w:val="7"/>
    <w:qFormat/>
    <w:uiPriority w:val="39"/>
    <w:rPr>
      <w:rFonts w:eastAsia="Times New Roman"/>
      <w:b/>
      <w:i/>
      <w:kern w:val="2"/>
    </w:rPr>
  </w:style>
  <w:style w:type="character" w:customStyle="1" w:styleId="37">
    <w:name w:val="ZTE-C-3rd level proposal 字符"/>
    <w:basedOn w:val="36"/>
    <w:link w:val="32"/>
    <w:qFormat/>
    <w:uiPriority w:val="0"/>
    <w:rPr>
      <w:rFonts w:eastAsia="Times New Roman"/>
      <w:kern w:val="2"/>
    </w:rPr>
  </w:style>
  <w:style w:type="paragraph" w:customStyle="1" w:styleId="38">
    <w:name w:val="ZTE-C-sub-Observation"/>
    <w:basedOn w:val="12"/>
    <w:link w:val="41"/>
    <w:qFormat/>
    <w:uiPriority w:val="0"/>
    <w:pPr>
      <w:tabs>
        <w:tab w:val="left" w:pos="993"/>
        <w:tab w:val="right" w:pos="9650"/>
      </w:tabs>
      <w:spacing w:before="120" w:after="120"/>
      <w:ind w:left="850" w:leftChars="425"/>
    </w:pPr>
  </w:style>
  <w:style w:type="character" w:customStyle="1" w:styleId="39">
    <w:name w:val="ZTE-C-Observation 字符"/>
    <w:basedOn w:val="30"/>
    <w:link w:val="35"/>
    <w:qFormat/>
    <w:uiPriority w:val="0"/>
    <w:rPr>
      <w:rFonts w:eastAsia="Times New Roman"/>
      <w:kern w:val="2"/>
    </w:rPr>
  </w:style>
  <w:style w:type="paragraph" w:customStyle="1" w:styleId="40">
    <w:name w:val="ZTE-C-3rd level Observation"/>
    <w:basedOn w:val="7"/>
    <w:link w:val="42"/>
    <w:qFormat/>
    <w:uiPriority w:val="0"/>
    <w:pPr>
      <w:tabs>
        <w:tab w:val="left" w:pos="1260"/>
        <w:tab w:val="right" w:pos="9650"/>
      </w:tabs>
      <w:spacing w:before="120" w:after="120"/>
      <w:ind w:left="1134" w:leftChars="567"/>
    </w:pPr>
  </w:style>
  <w:style w:type="character" w:customStyle="1" w:styleId="41">
    <w:name w:val="ZTE-C-sub-Observation 字符"/>
    <w:basedOn w:val="33"/>
    <w:link w:val="38"/>
    <w:qFormat/>
    <w:uiPriority w:val="0"/>
    <w:rPr>
      <w:rFonts w:eastAsia="Times New Roman"/>
      <w:kern w:val="2"/>
    </w:rPr>
  </w:style>
  <w:style w:type="character" w:customStyle="1" w:styleId="42">
    <w:name w:val="ZTE-C-3rd level Observation 字符"/>
    <w:basedOn w:val="36"/>
    <w:link w:val="40"/>
    <w:qFormat/>
    <w:uiPriority w:val="0"/>
    <w:rPr>
      <w:rFonts w:eastAsia="Times New Roman"/>
      <w:kern w:val="2"/>
    </w:rPr>
  </w:style>
  <w:style w:type="character" w:customStyle="1" w:styleId="43">
    <w:name w:val="页脚 字符"/>
    <w:basedOn w:val="15"/>
    <w:link w:val="8"/>
    <w:qFormat/>
    <w:uiPriority w:val="99"/>
    <w:rPr>
      <w:rFonts w:eastAsia="Times New Roman"/>
      <w:kern w:val="2"/>
      <w:sz w:val="18"/>
      <w:szCs w:val="18"/>
    </w:rPr>
  </w:style>
  <w:style w:type="paragraph" w:customStyle="1" w:styleId="4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45">
    <w:name w:val="TAH"/>
    <w:basedOn w:val="46"/>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46">
    <w:name w:val="TAC"/>
    <w:basedOn w:val="47"/>
    <w:qFormat/>
    <w:uiPriority w:val="0"/>
    <w:pPr>
      <w:jc w:val="center"/>
    </w:pPr>
    <w:rPr>
      <w:szCs w:val="20"/>
      <w:lang w:eastAsia="en-US"/>
    </w:rPr>
  </w:style>
  <w:style w:type="paragraph" w:customStyle="1" w:styleId="47">
    <w:name w:val="TAL"/>
    <w:basedOn w:val="1"/>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paragraph" w:customStyle="1" w:styleId="48">
    <w:name w:val="Agreement"/>
    <w:basedOn w:val="1"/>
    <w:next w:val="17"/>
    <w:qFormat/>
    <w:uiPriority w:val="99"/>
    <w:pPr>
      <w:numPr>
        <w:ilvl w:val="0"/>
        <w:numId w:val="8"/>
      </w:numPr>
      <w:spacing w:before="60"/>
    </w:pPr>
    <w:rPr>
      <w:b/>
    </w:rPr>
  </w:style>
  <w:style w:type="paragraph" w:customStyle="1" w:styleId="49">
    <w:name w:val="NO"/>
    <w:basedOn w:val="1"/>
    <w:qFormat/>
    <w:uiPriority w:val="0"/>
    <w:pPr>
      <w:keepLines/>
      <w:ind w:left="1135" w:hanging="851"/>
    </w:pPr>
  </w:style>
  <w:style w:type="paragraph" w:customStyle="1" w:styleId="50">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1</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2023-11-03T02:52:58Z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